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4C66C9">
        <w:rPr>
          <w:b/>
          <w:smallCaps/>
          <w:szCs w:val="18"/>
        </w:rPr>
        <w:t>29</w:t>
      </w:r>
      <w:bookmarkStart w:id="0" w:name="_GoBack"/>
      <w:bookmarkEnd w:id="0"/>
      <w:r w:rsidR="00261222">
        <w:rPr>
          <w:b/>
          <w:smallCaps/>
          <w:szCs w:val="18"/>
        </w:rPr>
        <w:t xml:space="preserve"> de </w:t>
      </w:r>
      <w:r w:rsidR="003E2B90">
        <w:rPr>
          <w:b/>
          <w:smallCaps/>
          <w:szCs w:val="18"/>
        </w:rPr>
        <w:t>Febrero</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20</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3E2B90">
        <w:rPr>
          <w:lang w:val="es-MX"/>
        </w:rPr>
        <w:t>29</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3E2B90">
        <w:rPr>
          <w:lang w:val="es-MX"/>
        </w:rPr>
        <w:t>Febrero</w:t>
      </w:r>
      <w:r w:rsidRPr="005C045F">
        <w:rPr>
          <w:lang w:val="es-MX"/>
        </w:rPr>
        <w:t xml:space="preserve">  es por cantidad de $</w:t>
      </w:r>
      <w:r w:rsidR="00050A53">
        <w:rPr>
          <w:lang w:val="es-MX"/>
        </w:rPr>
        <w:t xml:space="preserve"> </w:t>
      </w:r>
      <w:r w:rsidR="003E2B90">
        <w:rPr>
          <w:lang w:val="es-MX"/>
        </w:rPr>
        <w:t>20,020,056.79</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7819A6">
        <w:rPr>
          <w:lang w:val="es-MX"/>
        </w:rPr>
        <w:t xml:space="preserve">General $ </w:t>
      </w:r>
      <w:r w:rsidR="003C0BFC">
        <w:rPr>
          <w:lang w:val="es-MX"/>
        </w:rPr>
        <w:t xml:space="preserve"> la administración 2015-2018 </w:t>
      </w:r>
      <w:r w:rsidR="008A77D6">
        <w:rPr>
          <w:lang w:val="es-MX"/>
        </w:rPr>
        <w:t>dejó</w:t>
      </w:r>
      <w:r w:rsidR="003C0BFC">
        <w:rPr>
          <w:lang w:val="es-MX"/>
        </w:rPr>
        <w:t xml:space="preserve"> un saldo al 30 de Septiembre 2018 por $ 106,161.40 el cual falto por deposita a Bancos,</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$ 4,000,322.81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1F0792">
        <w:rPr>
          <w:lang w:val="es-MX"/>
        </w:rPr>
        <w:t>Febrero 2020</w:t>
      </w:r>
      <w:r w:rsidR="00161F58" w:rsidRPr="00056D3D">
        <w:rPr>
          <w:lang w:val="es-MX"/>
        </w:rPr>
        <w:t xml:space="preserve"> es por la cantidad de $ </w:t>
      </w:r>
      <w:r w:rsidR="001F0792">
        <w:rPr>
          <w:lang w:val="es-MX"/>
        </w:rPr>
        <w:t>5,473,482.78</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En una revisión de saldo elaborada por esta administración 2018-2021 se encontraron algunas diferencia de saldos iniciales en los </w:t>
      </w:r>
      <w:r w:rsidR="007A4AAD">
        <w:rPr>
          <w:lang w:val="es-MX"/>
        </w:rPr>
        <w:t>préstamos</w:t>
      </w:r>
      <w:r w:rsidR="00056D3D">
        <w:rPr>
          <w:lang w:val="es-MX"/>
        </w:rPr>
        <w:t xml:space="preserve"> personales como por ejemplo que el saldo Final del ejercicio 2017 con el saldo Inicial 2018 no concuerda, </w:t>
      </w:r>
      <w:r w:rsidR="007A4AAD">
        <w:rPr>
          <w:lang w:val="es-MX"/>
        </w:rPr>
        <w:t>también</w:t>
      </w:r>
      <w:r w:rsidR="00056D3D">
        <w:rPr>
          <w:lang w:val="es-MX"/>
        </w:rPr>
        <w:t xml:space="preserve"> en algunos registros de pago de préstamos no se refleja el </w:t>
      </w:r>
      <w:proofErr w:type="spellStart"/>
      <w:r w:rsidR="00056D3D">
        <w:rPr>
          <w:lang w:val="es-MX"/>
        </w:rPr>
        <w:t>deposito</w:t>
      </w:r>
      <w:proofErr w:type="spellEnd"/>
      <w:r w:rsidR="00056D3D">
        <w:rPr>
          <w:lang w:val="es-MX"/>
        </w:rPr>
        <w:t xml:space="preserve"> en el banco correctamente y elaboraron registros de depuración de saldos sin estar autorizados por </w:t>
      </w:r>
      <w:r w:rsidR="00C5603C">
        <w:rPr>
          <w:lang w:val="es-MX"/>
        </w:rPr>
        <w:t>cabildo, en</w:t>
      </w:r>
      <w:r w:rsidR="00185AD7">
        <w:rPr>
          <w:lang w:val="es-MX"/>
        </w:rPr>
        <w:t xml:space="preserve"> lo referente a lo anterior los empleados Juan Salvador Palacios Rocha hizo un </w:t>
      </w:r>
      <w:r w:rsidR="00C5603C">
        <w:rPr>
          <w:lang w:val="es-MX"/>
        </w:rPr>
        <w:t>depósito</w:t>
      </w:r>
      <w:r w:rsidR="00185AD7">
        <w:rPr>
          <w:lang w:val="es-MX"/>
        </w:rPr>
        <w:t xml:space="preserve"> de $ 200,000.00,Roberto Capetillo Reyes hizo un </w:t>
      </w:r>
      <w:r w:rsidR="00C5603C">
        <w:rPr>
          <w:lang w:val="es-MX"/>
        </w:rPr>
        <w:t>depósito</w:t>
      </w:r>
      <w:r w:rsidR="00185AD7">
        <w:rPr>
          <w:lang w:val="es-MX"/>
        </w:rPr>
        <w:t xml:space="preserve"> de $ 500,000.00 y Liliana huerta </w:t>
      </w:r>
      <w:r w:rsidR="00C5603C">
        <w:rPr>
          <w:lang w:val="es-MX"/>
        </w:rPr>
        <w:t>Martínez</w:t>
      </w:r>
      <w:r w:rsidR="00185AD7">
        <w:rPr>
          <w:lang w:val="es-MX"/>
        </w:rPr>
        <w:t xml:space="preserve"> hizo un </w:t>
      </w:r>
      <w:r w:rsidR="00C5603C">
        <w:rPr>
          <w:lang w:val="es-MX"/>
        </w:rPr>
        <w:t>depósito</w:t>
      </w:r>
      <w:r w:rsidR="00185AD7">
        <w:rPr>
          <w:lang w:val="es-MX"/>
        </w:rPr>
        <w:t xml:space="preserve"> de $ 300,000.00 a los cuales no se les </w:t>
      </w:r>
      <w:r w:rsidR="00C5603C">
        <w:rPr>
          <w:lang w:val="es-MX"/>
        </w:rPr>
        <w:t>ha</w:t>
      </w:r>
      <w:r w:rsidR="00185AD7">
        <w:rPr>
          <w:lang w:val="es-MX"/>
        </w:rPr>
        <w:t xml:space="preserve"> aplicado los intereses correspondientes.</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20</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1F0792">
        <w:rPr>
          <w:lang w:val="es-MX"/>
        </w:rPr>
        <w:t>29</w:t>
      </w:r>
      <w:r>
        <w:rPr>
          <w:lang w:val="es-MX"/>
        </w:rPr>
        <w:t xml:space="preserve"> de </w:t>
      </w:r>
      <w:r w:rsidR="001F0792">
        <w:rPr>
          <w:lang w:val="es-MX"/>
        </w:rPr>
        <w:t>Febrero</w:t>
      </w:r>
      <w:r w:rsidR="005E4D5B">
        <w:rPr>
          <w:lang w:val="es-MX"/>
        </w:rPr>
        <w:t xml:space="preserve"> </w:t>
      </w:r>
      <w:r>
        <w:rPr>
          <w:lang w:val="es-MX"/>
        </w:rPr>
        <w:t>de</w:t>
      </w:r>
      <w:r w:rsidR="00BE04C2">
        <w:rPr>
          <w:lang w:val="es-MX"/>
        </w:rPr>
        <w:t>l</w:t>
      </w:r>
      <w:r>
        <w:rPr>
          <w:lang w:val="es-MX"/>
        </w:rPr>
        <w:t xml:space="preserve"> 20</w:t>
      </w:r>
      <w:r w:rsidR="00BE5469">
        <w:rPr>
          <w:lang w:val="es-MX"/>
        </w:rPr>
        <w:t>20</w:t>
      </w:r>
      <w:r>
        <w:rPr>
          <w:lang w:val="es-MX"/>
        </w:rPr>
        <w:t xml:space="preserve"> es por la cantidad de $ </w:t>
      </w:r>
      <w:r w:rsidR="00B67F05">
        <w:rPr>
          <w:lang w:val="es-MX"/>
        </w:rPr>
        <w:t>48,192,396.31</w:t>
      </w:r>
      <w:r>
        <w:rPr>
          <w:lang w:val="es-MX"/>
        </w:rPr>
        <w:t xml:space="preserve"> de los cuales en su may</w:t>
      </w:r>
      <w:r w:rsidR="00B67F05">
        <w:rPr>
          <w:lang w:val="es-MX"/>
        </w:rPr>
        <w:t>oría son del ejercicio 2019</w:t>
      </w:r>
      <w:r>
        <w:rPr>
          <w:lang w:val="es-MX"/>
        </w:rPr>
        <w:t xml:space="preserve">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el saldo en Contratistas es por $ </w:t>
      </w:r>
      <w:r w:rsidR="00B67F05">
        <w:rPr>
          <w:lang w:val="es-MX"/>
        </w:rPr>
        <w:t>18,707,262.98</w:t>
      </w:r>
      <w:r w:rsidR="00D82BF6">
        <w:rPr>
          <w:lang w:val="es-MX"/>
        </w:rPr>
        <w:t xml:space="preserve"> por Obras Realizadas por el Ramo 28 Tesoreria</w:t>
      </w:r>
      <w:r w:rsidR="00076A1D">
        <w:rPr>
          <w:lang w:val="es-MX"/>
        </w:rPr>
        <w:t xml:space="preserve"> </w:t>
      </w:r>
      <w:r w:rsidR="00D82BF6">
        <w:rPr>
          <w:lang w:val="es-MX"/>
        </w:rPr>
        <w:t xml:space="preserve">lo </w:t>
      </w:r>
      <w:r w:rsidR="007059D2">
        <w:rPr>
          <w:lang w:val="es-MX"/>
        </w:rPr>
        <w:t>más</w:t>
      </w:r>
      <w:r w:rsidR="00D82BF6">
        <w:rPr>
          <w:lang w:val="es-MX"/>
        </w:rPr>
        <w:t xml:space="preserve"> relevante de esta cuenta son</w:t>
      </w:r>
      <w:r w:rsidR="00B80DFC">
        <w:rPr>
          <w:lang w:val="es-MX"/>
        </w:rPr>
        <w:t xml:space="preserve"> </w:t>
      </w:r>
      <w:r w:rsidR="006B1A3E">
        <w:rPr>
          <w:lang w:val="es-MX"/>
        </w:rPr>
        <w:t xml:space="preserve">Construcciones y Proyectos Miranda de </w:t>
      </w:r>
      <w:r w:rsidR="007059D2">
        <w:rPr>
          <w:lang w:val="es-MX"/>
        </w:rPr>
        <w:t>Potosí</w:t>
      </w:r>
      <w:r w:rsidR="006B1A3E">
        <w:rPr>
          <w:lang w:val="es-MX"/>
        </w:rPr>
        <w:t>, S.A.</w:t>
      </w:r>
      <w:r w:rsidR="007059D2">
        <w:rPr>
          <w:lang w:val="es-MX"/>
        </w:rPr>
        <w:t xml:space="preserve"> </w:t>
      </w:r>
      <w:r w:rsidR="006B1A3E">
        <w:rPr>
          <w:lang w:val="es-MX"/>
        </w:rPr>
        <w:t>de C.V.</w:t>
      </w:r>
      <w:r w:rsidR="00D82BF6">
        <w:rPr>
          <w:lang w:val="es-MX"/>
        </w:rPr>
        <w:t>,</w:t>
      </w:r>
      <w:r w:rsidR="00B80DFC">
        <w:rPr>
          <w:lang w:val="es-MX"/>
        </w:rPr>
        <w:t xml:space="preserve"> por $</w:t>
      </w:r>
      <w:r w:rsidR="00D82BF6">
        <w:rPr>
          <w:lang w:val="es-MX"/>
        </w:rPr>
        <w:t xml:space="preserve"> </w:t>
      </w:r>
      <w:r w:rsidR="00210C8F">
        <w:rPr>
          <w:lang w:val="es-MX"/>
        </w:rPr>
        <w:t>2</w:t>
      </w:r>
      <w:r w:rsidR="00D82BF6">
        <w:rPr>
          <w:lang w:val="es-MX"/>
        </w:rPr>
        <w:t>,482,213.53</w:t>
      </w:r>
      <w:r w:rsidR="006B1A3E">
        <w:rPr>
          <w:lang w:val="es-MX"/>
        </w:rPr>
        <w:t xml:space="preserve"> </w:t>
      </w:r>
      <w:r w:rsidR="00B67F05">
        <w:rPr>
          <w:lang w:val="es-MX"/>
        </w:rPr>
        <w:t xml:space="preserve">Constructora </w:t>
      </w:r>
      <w:proofErr w:type="spellStart"/>
      <w:r w:rsidR="00B67F05">
        <w:rPr>
          <w:lang w:val="es-MX"/>
        </w:rPr>
        <w:t>Sarubi,S.A.de</w:t>
      </w:r>
      <w:proofErr w:type="spellEnd"/>
      <w:r w:rsidR="00B67F05">
        <w:rPr>
          <w:lang w:val="es-MX"/>
        </w:rPr>
        <w:t xml:space="preserve"> C.V. por $ 1,705,234.71</w:t>
      </w:r>
      <w:r w:rsidR="00B80DFC">
        <w:rPr>
          <w:lang w:val="es-MX"/>
        </w:rPr>
        <w:t xml:space="preserve">,Eco Construcciones del </w:t>
      </w:r>
      <w:r w:rsidR="007059D2">
        <w:rPr>
          <w:lang w:val="es-MX"/>
        </w:rPr>
        <w:t>Potosí</w:t>
      </w:r>
      <w:r w:rsidR="00B80DFC">
        <w:rPr>
          <w:lang w:val="es-MX"/>
        </w:rPr>
        <w:t xml:space="preserve"> por $ 1,259,630.30</w:t>
      </w:r>
      <w:r w:rsidR="00D82BF6">
        <w:rPr>
          <w:lang w:val="es-MX"/>
        </w:rPr>
        <w:t xml:space="preserve">,Brenda </w:t>
      </w:r>
      <w:proofErr w:type="spellStart"/>
      <w:r w:rsidR="00D82BF6">
        <w:rPr>
          <w:lang w:val="es-MX"/>
        </w:rPr>
        <w:t>Lizeth</w:t>
      </w:r>
      <w:proofErr w:type="spellEnd"/>
      <w:r w:rsidR="00D82BF6">
        <w:rPr>
          <w:lang w:val="es-MX"/>
        </w:rPr>
        <w:t xml:space="preserve">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7059D2">
        <w:rPr>
          <w:lang w:val="es-MX"/>
        </w:rPr>
        <w:t>,Proveedor de combustible</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B67F05">
        <w:rPr>
          <w:lang w:val="es-MX"/>
        </w:rPr>
        <w:lastRenderedPageBreak/>
        <w:t>15,798,809.94</w:t>
      </w:r>
      <w:r w:rsidR="00C92939">
        <w:rPr>
          <w:lang w:val="es-MX"/>
        </w:rPr>
        <w:t xml:space="preserve"> </w:t>
      </w:r>
      <w:r w:rsidR="007059D2">
        <w:rPr>
          <w:lang w:val="es-MX"/>
        </w:rPr>
        <w:t>y Proveedor de servicio de grupos musicales Editorial Gran Pirámide de San Luis,</w:t>
      </w:r>
      <w:r w:rsidR="00155A37">
        <w:rPr>
          <w:lang w:val="es-MX"/>
        </w:rPr>
        <w:t xml:space="preserve"> </w:t>
      </w:r>
      <w:r w:rsidR="007059D2">
        <w:rPr>
          <w:lang w:val="es-MX"/>
        </w:rPr>
        <w:t>S.A. de C.V.</w:t>
      </w:r>
      <w:r w:rsidR="00B67F05">
        <w:rPr>
          <w:lang w:val="es-MX"/>
        </w:rPr>
        <w:t xml:space="preserve"> por $ 1,789,600.00</w:t>
      </w:r>
      <w:r w:rsidR="00155A37">
        <w:rPr>
          <w:lang w:val="es-MX"/>
        </w:rPr>
        <w:t xml:space="preserve"> </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C5003B"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515E78">
        <w:rPr>
          <w:lang w:val="es-MX"/>
        </w:rPr>
        <w:t>Febrero</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20</w:t>
      </w:r>
      <w:r>
        <w:rPr>
          <w:lang w:val="es-MX"/>
        </w:rPr>
        <w:t xml:space="preserve"> es por la cantidad de </w:t>
      </w:r>
      <w:r w:rsidR="00A043E4">
        <w:rPr>
          <w:lang w:val="es-MX"/>
        </w:rPr>
        <w:t>$</w:t>
      </w:r>
      <w:r w:rsidR="000433BA">
        <w:rPr>
          <w:lang w:val="es-MX"/>
        </w:rPr>
        <w:t xml:space="preserve"> </w:t>
      </w:r>
      <w:r w:rsidR="00515E78">
        <w:rPr>
          <w:lang w:val="es-MX"/>
        </w:rPr>
        <w:t>5</w:t>
      </w:r>
      <w:proofErr w:type="gramStart"/>
      <w:r w:rsidR="00515E78">
        <w:rPr>
          <w:lang w:val="es-MX"/>
        </w:rPr>
        <w:t>,603,450.63</w:t>
      </w:r>
      <w:proofErr w:type="gramEnd"/>
      <w:r w:rsidR="00A043E4">
        <w:rPr>
          <w:lang w:val="es-MX"/>
        </w:rPr>
        <w:t xml:space="preserve"> , actualmente</w:t>
      </w:r>
      <w:r w:rsidR="00C010CE">
        <w:rPr>
          <w:lang w:val="es-MX"/>
        </w:rPr>
        <w:t xml:space="preserve"> </w:t>
      </w:r>
      <w:r>
        <w:rPr>
          <w:lang w:val="es-MX"/>
        </w:rPr>
        <w:t xml:space="preserve">se están pagando los </w:t>
      </w:r>
      <w:r w:rsidR="00D02BE2">
        <w:rPr>
          <w:lang w:val="es-MX"/>
        </w:rPr>
        <w:t>impuestos</w:t>
      </w:r>
      <w:r>
        <w:rPr>
          <w:lang w:val="es-MX"/>
        </w:rPr>
        <w:t xml:space="preserve"> retenidos</w:t>
      </w:r>
      <w:r w:rsidR="00C010CE">
        <w:rPr>
          <w:lang w:val="es-MX"/>
        </w:rPr>
        <w:t xml:space="preserve"> a</w:t>
      </w:r>
      <w:r>
        <w:rPr>
          <w:lang w:val="es-MX"/>
        </w:rPr>
        <w:t xml:space="preserve"> los funcionarios y empleados.</w:t>
      </w:r>
    </w:p>
    <w:p w:rsidR="00B943DF" w:rsidRPr="00A32074" w:rsidRDefault="00B943DF" w:rsidP="000433BA">
      <w:pPr>
        <w:pStyle w:val="ROMANOS"/>
        <w:tabs>
          <w:tab w:val="clear" w:pos="720"/>
        </w:tabs>
        <w:spacing w:after="80" w:line="224" w:lineRule="exact"/>
        <w:ind w:left="0" w:firstLine="0"/>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B11CD5">
      <w:pPr>
        <w:pStyle w:val="ROMANOS"/>
        <w:numPr>
          <w:ilvl w:val="0"/>
          <w:numId w:val="5"/>
        </w:numPr>
        <w:tabs>
          <w:tab w:val="clear" w:pos="720"/>
        </w:tabs>
        <w:spacing w:after="80" w:line="203" w:lineRule="exact"/>
        <w:ind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 xml:space="preserve">Durante el presente ejercicio las principales partidas fueron las de Combustible $ </w:t>
      </w:r>
      <w:r w:rsidR="00515E78">
        <w:rPr>
          <w:lang w:val="es-MX"/>
        </w:rPr>
        <w:t>1</w:t>
      </w:r>
      <w:proofErr w:type="gramStart"/>
      <w:r w:rsidR="00515E78">
        <w:rPr>
          <w:lang w:val="es-MX"/>
        </w:rPr>
        <w:t>,063,895.25</w:t>
      </w:r>
      <w:proofErr w:type="gramEnd"/>
      <w:r w:rsidR="009033EC">
        <w:rPr>
          <w:lang w:val="es-MX"/>
        </w:rPr>
        <w:t>, Servicio Energía Eléctrica   $</w:t>
      </w:r>
      <w:r w:rsidR="00C6009D">
        <w:rPr>
          <w:lang w:val="es-MX"/>
        </w:rPr>
        <w:t xml:space="preserve"> </w:t>
      </w:r>
      <w:r w:rsidR="00515E78">
        <w:rPr>
          <w:lang w:val="es-MX"/>
        </w:rPr>
        <w:t>619,588.00</w:t>
      </w:r>
      <w:r w:rsidR="009033EC">
        <w:rPr>
          <w:lang w:val="es-MX"/>
        </w:rPr>
        <w:t>,</w:t>
      </w:r>
      <w:r w:rsidR="00515E78">
        <w:rPr>
          <w:lang w:val="es-MX"/>
        </w:rPr>
        <w:t xml:space="preserve"> </w:t>
      </w:r>
      <w:r w:rsidR="00C6009D">
        <w:rPr>
          <w:lang w:val="es-MX"/>
        </w:rPr>
        <w:t xml:space="preserve">por los eventos realizados por el </w:t>
      </w:r>
      <w:proofErr w:type="spellStart"/>
      <w:r w:rsidR="00C6009D">
        <w:rPr>
          <w:lang w:val="es-MX"/>
        </w:rPr>
        <w:t>H.Ayuntamiento</w:t>
      </w:r>
      <w:proofErr w:type="spellEnd"/>
      <w:r w:rsidR="00C6009D">
        <w:rPr>
          <w:lang w:val="es-MX"/>
        </w:rPr>
        <w:t xml:space="preserve"> </w:t>
      </w:r>
      <w:proofErr w:type="spellStart"/>
      <w:r w:rsidR="00C6009D">
        <w:rPr>
          <w:lang w:val="es-MX"/>
        </w:rPr>
        <w:t>enfocadsos</w:t>
      </w:r>
      <w:proofErr w:type="spellEnd"/>
      <w:r w:rsidR="00C6009D">
        <w:rPr>
          <w:lang w:val="es-MX"/>
        </w:rPr>
        <w:t xml:space="preserve"> a la recreación y el fomento cultural entre la población $ </w:t>
      </w:r>
      <w:r w:rsidR="00515E78">
        <w:rPr>
          <w:lang w:val="es-MX"/>
        </w:rPr>
        <w:t>1,889,487.04</w:t>
      </w:r>
      <w:r w:rsidR="001008F9">
        <w:rPr>
          <w:lang w:val="es-MX"/>
        </w:rPr>
        <w:t>,</w:t>
      </w:r>
      <w:r w:rsidR="009033EC">
        <w:rPr>
          <w:lang w:val="es-MX"/>
        </w:rPr>
        <w:t xml:space="preserve"> Apoyo a Personas de escaso recurso si bien no resuelve la problemática en su totalidad se apoya para atender las </w:t>
      </w:r>
      <w:r>
        <w:rPr>
          <w:lang w:val="es-MX"/>
        </w:rPr>
        <w:t>básicas</w:t>
      </w:r>
      <w:r w:rsidR="00515E78">
        <w:rPr>
          <w:lang w:val="es-MX"/>
        </w:rPr>
        <w:t xml:space="preserve"> por $ </w:t>
      </w:r>
      <w:r w:rsidR="00721B2E">
        <w:rPr>
          <w:lang w:val="es-MX"/>
        </w:rPr>
        <w:t>645,778.56</w:t>
      </w:r>
      <w:r w:rsidR="001008F9">
        <w:rPr>
          <w:lang w:val="es-MX"/>
        </w:rPr>
        <w:t xml:space="preserve"> y pago de ADEFAS  por $ </w:t>
      </w:r>
      <w:r w:rsidR="00721B2E">
        <w:rPr>
          <w:lang w:val="es-MX"/>
        </w:rPr>
        <w:t>1,861,604.23</w:t>
      </w:r>
      <w:r w:rsidR="001008F9">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AB12D6" w:rsidP="00DF6BE6">
            <w:pPr>
              <w:pStyle w:val="Texto"/>
              <w:spacing w:line="224" w:lineRule="exact"/>
              <w:ind w:firstLine="0"/>
              <w:outlineLvl w:val="0"/>
              <w:rPr>
                <w:b/>
                <w:smallCaps/>
                <w:sz w:val="16"/>
                <w:szCs w:val="16"/>
              </w:rPr>
            </w:pPr>
            <w:r w:rsidRPr="00665D7D">
              <w:rPr>
                <w:b/>
                <w:smallCaps/>
                <w:sz w:val="16"/>
                <w:szCs w:val="16"/>
              </w:rPr>
              <w:t xml:space="preserve"> </w:t>
            </w:r>
            <w:r w:rsidR="00DF6BE6">
              <w:rPr>
                <w:b/>
                <w:smallCaps/>
                <w:sz w:val="16"/>
                <w:szCs w:val="16"/>
              </w:rPr>
              <w:t>29</w:t>
            </w:r>
            <w:r>
              <w:rPr>
                <w:b/>
                <w:smallCaps/>
                <w:sz w:val="16"/>
                <w:szCs w:val="16"/>
              </w:rPr>
              <w:t>/</w:t>
            </w:r>
            <w:r w:rsidR="00C6009D">
              <w:rPr>
                <w:b/>
                <w:smallCaps/>
                <w:sz w:val="16"/>
                <w:szCs w:val="16"/>
              </w:rPr>
              <w:t>0</w:t>
            </w:r>
            <w:r w:rsidR="00DF6BE6">
              <w:rPr>
                <w:b/>
                <w:smallCaps/>
                <w:sz w:val="16"/>
                <w:szCs w:val="16"/>
              </w:rPr>
              <w:t>2</w:t>
            </w:r>
            <w:r>
              <w:rPr>
                <w:b/>
                <w:smallCaps/>
                <w:sz w:val="16"/>
                <w:szCs w:val="16"/>
              </w:rPr>
              <w:t>/20</w:t>
            </w:r>
            <w:r w:rsidR="00C6009D">
              <w:rPr>
                <w:b/>
                <w:smallCaps/>
                <w:sz w:val="16"/>
                <w:szCs w:val="16"/>
              </w:rPr>
              <w:t>20</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7B6E68">
              <w:rPr>
                <w:b/>
                <w:smallCaps/>
                <w:sz w:val="16"/>
                <w:szCs w:val="16"/>
              </w:rPr>
              <w:t>335</w:t>
            </w:r>
            <w:r>
              <w:rPr>
                <w:b/>
                <w:smallCaps/>
                <w:sz w:val="16"/>
                <w:szCs w:val="16"/>
              </w:rPr>
              <w:t>,</w:t>
            </w:r>
            <w:r w:rsidR="007B6E68">
              <w:rPr>
                <w:b/>
                <w:smallCaps/>
                <w:sz w:val="16"/>
                <w:szCs w:val="16"/>
              </w:rPr>
              <w:t>746</w:t>
            </w:r>
            <w:r>
              <w:rPr>
                <w:b/>
                <w:smallCaps/>
                <w:sz w:val="16"/>
                <w:szCs w:val="16"/>
              </w:rPr>
              <w:t>.</w:t>
            </w:r>
            <w:r w:rsidR="007B6E68">
              <w:rPr>
                <w:b/>
                <w:smallCaps/>
                <w:sz w:val="16"/>
                <w:szCs w:val="16"/>
              </w:rPr>
              <w:t>17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12,000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167,3</w:t>
            </w:r>
            <w:r w:rsidR="00DF6BE6">
              <w:rPr>
                <w:b/>
                <w:smallCaps/>
                <w:sz w:val="16"/>
                <w:szCs w:val="16"/>
              </w:rPr>
              <w:t>47</w:t>
            </w:r>
            <w:r>
              <w:rPr>
                <w:b/>
                <w:smallCaps/>
                <w:sz w:val="16"/>
                <w:szCs w:val="16"/>
              </w:rPr>
              <w:t>,746.17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DF6BE6" w:rsidP="00DF6BE6">
            <w:pPr>
              <w:pStyle w:val="Texto"/>
              <w:spacing w:line="224" w:lineRule="exact"/>
              <w:ind w:firstLine="0"/>
              <w:outlineLvl w:val="0"/>
              <w:rPr>
                <w:b/>
                <w:smallCaps/>
                <w:sz w:val="16"/>
                <w:szCs w:val="16"/>
              </w:rPr>
            </w:pPr>
            <w:r>
              <w:rPr>
                <w:b/>
                <w:smallCaps/>
                <w:sz w:val="16"/>
                <w:szCs w:val="16"/>
              </w:rPr>
              <w:t>29</w:t>
            </w:r>
            <w:r w:rsidR="00AB12D6">
              <w:rPr>
                <w:b/>
                <w:smallCaps/>
                <w:sz w:val="16"/>
                <w:szCs w:val="16"/>
              </w:rPr>
              <w:t>/</w:t>
            </w:r>
            <w:r w:rsidR="00C6009D">
              <w:rPr>
                <w:b/>
                <w:smallCaps/>
                <w:sz w:val="16"/>
                <w:szCs w:val="16"/>
              </w:rPr>
              <w:t>0</w:t>
            </w:r>
            <w:r>
              <w:rPr>
                <w:b/>
                <w:smallCaps/>
                <w:sz w:val="16"/>
                <w:szCs w:val="16"/>
              </w:rPr>
              <w:t>2</w:t>
            </w:r>
            <w:r w:rsidR="00AB12D6">
              <w:rPr>
                <w:b/>
                <w:smallCaps/>
                <w:sz w:val="16"/>
                <w:szCs w:val="16"/>
              </w:rPr>
              <w:t>/20</w:t>
            </w:r>
            <w:r w:rsidR="00C6009D">
              <w:rPr>
                <w:b/>
                <w:smallCaps/>
                <w:sz w:val="16"/>
                <w:szCs w:val="16"/>
              </w:rPr>
              <w:t>20</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DF6BE6" w:rsidP="00DF6BE6">
            <w:pPr>
              <w:pStyle w:val="Texto"/>
              <w:spacing w:line="224" w:lineRule="exact"/>
              <w:ind w:firstLine="0"/>
              <w:outlineLvl w:val="0"/>
              <w:rPr>
                <w:b/>
                <w:smallCaps/>
                <w:sz w:val="16"/>
                <w:szCs w:val="16"/>
              </w:rPr>
            </w:pPr>
            <w:r>
              <w:rPr>
                <w:b/>
                <w:smallCaps/>
                <w:sz w:val="16"/>
                <w:szCs w:val="16"/>
              </w:rPr>
              <w:t>29</w:t>
            </w:r>
            <w:r w:rsidR="00AB12D6">
              <w:rPr>
                <w:b/>
                <w:smallCaps/>
                <w:sz w:val="16"/>
                <w:szCs w:val="16"/>
              </w:rPr>
              <w:t>/</w:t>
            </w:r>
            <w:r w:rsidR="00C6009D">
              <w:rPr>
                <w:b/>
                <w:smallCaps/>
                <w:sz w:val="16"/>
                <w:szCs w:val="16"/>
              </w:rPr>
              <w:t>0</w:t>
            </w:r>
            <w:r>
              <w:rPr>
                <w:b/>
                <w:smallCaps/>
                <w:sz w:val="16"/>
                <w:szCs w:val="16"/>
              </w:rPr>
              <w:t>2</w:t>
            </w:r>
            <w:r w:rsidR="00AB12D6">
              <w:rPr>
                <w:b/>
                <w:smallCaps/>
                <w:sz w:val="16"/>
                <w:szCs w:val="16"/>
              </w:rPr>
              <w:t>/20</w:t>
            </w:r>
            <w:r w:rsidR="00C6009D">
              <w:rPr>
                <w:b/>
                <w:smallCaps/>
                <w:sz w:val="16"/>
                <w:szCs w:val="16"/>
              </w:rPr>
              <w:t>20</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0F17DA" w:rsidP="007B6E68">
            <w:pPr>
              <w:pStyle w:val="Texto"/>
              <w:spacing w:line="224" w:lineRule="exact"/>
              <w:ind w:firstLine="0"/>
              <w:jc w:val="right"/>
              <w:outlineLvl w:val="0"/>
              <w:rPr>
                <w:b/>
                <w:smallCaps/>
                <w:sz w:val="16"/>
                <w:szCs w:val="16"/>
              </w:rPr>
            </w:pPr>
            <w:r>
              <w:rPr>
                <w:b/>
                <w:smallCaps/>
                <w:sz w:val="16"/>
                <w:szCs w:val="16"/>
              </w:rPr>
              <w:t>163,</w:t>
            </w:r>
            <w:r w:rsidR="007B6E68">
              <w:rPr>
                <w:b/>
                <w:smallCaps/>
                <w:sz w:val="16"/>
                <w:szCs w:val="16"/>
              </w:rPr>
              <w:t>017</w:t>
            </w:r>
            <w:r>
              <w:rPr>
                <w:b/>
                <w:smallCaps/>
                <w:sz w:val="16"/>
                <w:szCs w:val="16"/>
              </w:rPr>
              <w:t>,</w:t>
            </w:r>
            <w:r w:rsidR="007B6E68">
              <w:rPr>
                <w:b/>
                <w:smallCaps/>
                <w:sz w:val="16"/>
                <w:szCs w:val="16"/>
              </w:rPr>
              <w:t>986</w:t>
            </w:r>
            <w:r>
              <w:rPr>
                <w:b/>
                <w:smallCaps/>
                <w:sz w:val="16"/>
                <w:szCs w:val="16"/>
              </w:rPr>
              <w:t>.</w:t>
            </w:r>
            <w:r w:rsidR="007B6E68">
              <w:rPr>
                <w:b/>
                <w:smallCaps/>
                <w:sz w:val="16"/>
                <w:szCs w:val="16"/>
              </w:rPr>
              <w:t>88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DF6BE6" w:rsidP="004151D1">
            <w:pPr>
              <w:pStyle w:val="Texto"/>
              <w:spacing w:line="224" w:lineRule="exact"/>
              <w:ind w:firstLine="0"/>
              <w:jc w:val="right"/>
              <w:outlineLvl w:val="0"/>
              <w:rPr>
                <w:b/>
                <w:smallCaps/>
                <w:sz w:val="16"/>
                <w:szCs w:val="16"/>
              </w:rPr>
            </w:pPr>
            <w:r>
              <w:rPr>
                <w:b/>
                <w:smallCaps/>
                <w:sz w:val="16"/>
                <w:szCs w:val="16"/>
              </w:rPr>
              <w:t>12,00</w:t>
            </w:r>
            <w:r w:rsidR="006136EF">
              <w:rPr>
                <w:b/>
                <w:smallCaps/>
                <w:sz w:val="16"/>
                <w:szCs w:val="16"/>
              </w:rPr>
              <w:t>0.00</w:t>
            </w:r>
          </w:p>
        </w:tc>
        <w:tc>
          <w:tcPr>
            <w:tcW w:w="1396" w:type="dxa"/>
          </w:tcPr>
          <w:p w:rsidR="00AB12D6" w:rsidRDefault="000F17DA" w:rsidP="00DF6BE6">
            <w:pPr>
              <w:pStyle w:val="Texto"/>
              <w:spacing w:line="224" w:lineRule="exact"/>
              <w:ind w:firstLine="0"/>
              <w:jc w:val="right"/>
              <w:outlineLvl w:val="0"/>
              <w:rPr>
                <w:b/>
                <w:smallCaps/>
                <w:sz w:val="16"/>
                <w:szCs w:val="16"/>
              </w:rPr>
            </w:pPr>
            <w:r>
              <w:rPr>
                <w:b/>
                <w:smallCaps/>
                <w:sz w:val="16"/>
                <w:szCs w:val="16"/>
              </w:rPr>
              <w:t>163,0</w:t>
            </w:r>
            <w:r w:rsidR="00DF6BE6">
              <w:rPr>
                <w:b/>
                <w:smallCaps/>
                <w:sz w:val="16"/>
                <w:szCs w:val="16"/>
              </w:rPr>
              <w:t>29</w:t>
            </w:r>
            <w:r>
              <w:rPr>
                <w:b/>
                <w:smallCaps/>
                <w:sz w:val="16"/>
                <w:szCs w:val="16"/>
              </w:rPr>
              <w:t>,986.88</w:t>
            </w:r>
          </w:p>
        </w:tc>
      </w:tr>
      <w:tr w:rsidR="00AB12D6" w:rsidRPr="00665D7D" w:rsidTr="001509E1">
        <w:tc>
          <w:tcPr>
            <w:tcW w:w="1129" w:type="dxa"/>
          </w:tcPr>
          <w:p w:rsidR="00AB12D6" w:rsidRDefault="00DF6BE6" w:rsidP="004151D1">
            <w:pPr>
              <w:pStyle w:val="Texto"/>
              <w:spacing w:line="224" w:lineRule="exact"/>
              <w:ind w:firstLine="0"/>
              <w:outlineLvl w:val="0"/>
              <w:rPr>
                <w:b/>
                <w:smallCaps/>
                <w:sz w:val="16"/>
                <w:szCs w:val="16"/>
              </w:rPr>
            </w:pPr>
            <w:r>
              <w:rPr>
                <w:b/>
                <w:smallCaps/>
                <w:sz w:val="16"/>
                <w:szCs w:val="16"/>
              </w:rPr>
              <w:t>29</w:t>
            </w:r>
            <w:r w:rsidR="00AB12D6">
              <w:rPr>
                <w:b/>
                <w:smallCaps/>
                <w:sz w:val="16"/>
                <w:szCs w:val="16"/>
              </w:rPr>
              <w:t>/</w:t>
            </w:r>
            <w:r w:rsidR="00C6009D">
              <w:rPr>
                <w:b/>
                <w:smallCaps/>
                <w:sz w:val="16"/>
                <w:szCs w:val="16"/>
              </w:rPr>
              <w:t>0</w:t>
            </w:r>
            <w:r>
              <w:rPr>
                <w:b/>
                <w:smallCaps/>
                <w:sz w:val="16"/>
                <w:szCs w:val="16"/>
              </w:rPr>
              <w:t>2</w:t>
            </w:r>
            <w:r w:rsidR="00AB12D6">
              <w:rPr>
                <w:b/>
                <w:smallCaps/>
                <w:sz w:val="16"/>
                <w:szCs w:val="16"/>
              </w:rPr>
              <w:t>/20</w:t>
            </w:r>
            <w:r w:rsidR="00C6009D">
              <w:rPr>
                <w:b/>
                <w:smallCaps/>
                <w:sz w:val="16"/>
                <w:szCs w:val="16"/>
              </w:rPr>
              <w:t>20</w:t>
            </w:r>
          </w:p>
          <w:p w:rsidR="007335A3" w:rsidRDefault="007335A3" w:rsidP="004151D1">
            <w:pPr>
              <w:pStyle w:val="Texto"/>
              <w:spacing w:line="224" w:lineRule="exact"/>
              <w:ind w:firstLine="0"/>
              <w:outlineLvl w:val="0"/>
              <w:rPr>
                <w:b/>
                <w:smallCaps/>
                <w:sz w:val="16"/>
                <w:szCs w:val="16"/>
              </w:rPr>
            </w:pPr>
          </w:p>
          <w:p w:rsidR="000503A1" w:rsidRDefault="00DF6BE6" w:rsidP="00C6009D">
            <w:pPr>
              <w:pStyle w:val="Texto"/>
              <w:spacing w:line="224" w:lineRule="exact"/>
              <w:ind w:firstLine="0"/>
              <w:outlineLvl w:val="0"/>
              <w:rPr>
                <w:b/>
                <w:smallCaps/>
                <w:sz w:val="16"/>
                <w:szCs w:val="16"/>
              </w:rPr>
            </w:pPr>
            <w:r>
              <w:rPr>
                <w:b/>
                <w:smallCaps/>
                <w:sz w:val="16"/>
                <w:szCs w:val="16"/>
              </w:rPr>
              <w:t>29</w:t>
            </w:r>
            <w:r w:rsidR="007335A3">
              <w:rPr>
                <w:b/>
                <w:smallCaps/>
                <w:sz w:val="16"/>
                <w:szCs w:val="16"/>
              </w:rPr>
              <w:t>/</w:t>
            </w:r>
            <w:r w:rsidR="00C6009D">
              <w:rPr>
                <w:b/>
                <w:smallCaps/>
                <w:sz w:val="16"/>
                <w:szCs w:val="16"/>
              </w:rPr>
              <w:t>0</w:t>
            </w:r>
            <w:r>
              <w:rPr>
                <w:b/>
                <w:smallCaps/>
                <w:sz w:val="16"/>
                <w:szCs w:val="16"/>
              </w:rPr>
              <w:t>2</w:t>
            </w:r>
            <w:r w:rsidR="007335A3">
              <w:rPr>
                <w:b/>
                <w:smallCaps/>
                <w:sz w:val="16"/>
                <w:szCs w:val="16"/>
              </w:rPr>
              <w:t>/20</w:t>
            </w:r>
            <w:r w:rsidR="00C6009D">
              <w:rPr>
                <w:b/>
                <w:smallCaps/>
                <w:sz w:val="16"/>
                <w:szCs w:val="16"/>
              </w:rPr>
              <w:t>20</w:t>
            </w:r>
          </w:p>
          <w:p w:rsidR="00C041B3" w:rsidRDefault="00C041B3" w:rsidP="00C6009D">
            <w:pPr>
              <w:pStyle w:val="Texto"/>
              <w:spacing w:line="224" w:lineRule="exact"/>
              <w:ind w:firstLine="0"/>
              <w:outlineLvl w:val="0"/>
              <w:rPr>
                <w:b/>
                <w:smallCaps/>
                <w:sz w:val="16"/>
                <w:szCs w:val="16"/>
              </w:rPr>
            </w:pPr>
          </w:p>
          <w:p w:rsidR="00C041B3" w:rsidRPr="007324A3" w:rsidRDefault="00DF6BE6" w:rsidP="00DF6BE6">
            <w:pPr>
              <w:pStyle w:val="Texto"/>
              <w:spacing w:line="224" w:lineRule="exact"/>
              <w:ind w:firstLine="0"/>
              <w:outlineLvl w:val="0"/>
              <w:rPr>
                <w:b/>
                <w:smallCaps/>
                <w:sz w:val="16"/>
                <w:szCs w:val="16"/>
              </w:rPr>
            </w:pPr>
            <w:r>
              <w:rPr>
                <w:b/>
                <w:smallCaps/>
                <w:sz w:val="16"/>
                <w:szCs w:val="16"/>
              </w:rPr>
              <w:t>29</w:t>
            </w:r>
            <w:r w:rsidR="00C041B3">
              <w:rPr>
                <w:b/>
                <w:smallCaps/>
                <w:sz w:val="16"/>
                <w:szCs w:val="16"/>
              </w:rPr>
              <w:t>/0</w:t>
            </w:r>
            <w:r>
              <w:rPr>
                <w:b/>
                <w:smallCaps/>
                <w:sz w:val="16"/>
                <w:szCs w:val="16"/>
              </w:rPr>
              <w:t>2</w:t>
            </w:r>
            <w:r w:rsidR="00C041B3">
              <w:rPr>
                <w:b/>
                <w:smallCaps/>
                <w:sz w:val="16"/>
                <w:szCs w:val="16"/>
              </w:rPr>
              <w:t>/2020</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w:t>
            </w:r>
            <w:proofErr w:type="spellStart"/>
            <w:r w:rsidR="001509E1">
              <w:rPr>
                <w:b/>
                <w:smallCaps/>
                <w:sz w:val="16"/>
                <w:szCs w:val="16"/>
              </w:rPr>
              <w:t>anterios</w:t>
            </w:r>
            <w:proofErr w:type="spellEnd"/>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-210,851.71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12,000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2862B2">
            <w:pPr>
              <w:pStyle w:val="Texto"/>
              <w:spacing w:line="224" w:lineRule="exact"/>
              <w:ind w:firstLine="0"/>
              <w:jc w:val="center"/>
              <w:rPr>
                <w:sz w:val="16"/>
                <w:szCs w:val="18"/>
                <w:lang w:val="es-MX"/>
              </w:rPr>
            </w:pPr>
            <w:r>
              <w:rPr>
                <w:sz w:val="16"/>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2862B2">
            <w:pPr>
              <w:pStyle w:val="Texto"/>
              <w:spacing w:line="224" w:lineRule="exact"/>
              <w:ind w:firstLine="0"/>
              <w:jc w:val="center"/>
              <w:rPr>
                <w:sz w:val="16"/>
                <w:szCs w:val="18"/>
                <w:lang w:val="es-MX"/>
              </w:rPr>
            </w:pPr>
            <w:r>
              <w:rPr>
                <w:sz w:val="16"/>
                <w:szCs w:val="18"/>
                <w:lang w:val="es-MX"/>
              </w:rPr>
              <w:t>2</w:t>
            </w:r>
            <w:r w:rsidR="002862B2">
              <w:rPr>
                <w:sz w:val="16"/>
                <w:szCs w:val="18"/>
                <w:lang w:val="es-MX"/>
              </w:rPr>
              <w:t>019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DF6BE6" w:rsidP="00DF6BE6">
            <w:pPr>
              <w:pStyle w:val="Texto"/>
              <w:spacing w:line="224" w:lineRule="exact"/>
              <w:ind w:firstLine="0"/>
              <w:jc w:val="center"/>
              <w:rPr>
                <w:sz w:val="16"/>
                <w:szCs w:val="18"/>
                <w:lang w:val="es-MX"/>
              </w:rPr>
            </w:pPr>
            <w:r>
              <w:rPr>
                <w:sz w:val="16"/>
                <w:szCs w:val="18"/>
                <w:lang w:val="es-MX"/>
              </w:rPr>
              <w:t>20,020,056</w:t>
            </w:r>
            <w:r w:rsidR="00BE5469">
              <w:rPr>
                <w:sz w:val="16"/>
                <w:szCs w:val="18"/>
                <w:lang w:val="es-MX"/>
              </w:rPr>
              <w:t>.</w:t>
            </w:r>
            <w:r>
              <w:rPr>
                <w:sz w:val="16"/>
                <w:szCs w:val="18"/>
                <w:lang w:val="es-MX"/>
              </w:rPr>
              <w:t>79</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DF6BE6" w:rsidP="00970655">
            <w:pPr>
              <w:pStyle w:val="Texto"/>
              <w:spacing w:line="224" w:lineRule="exact"/>
              <w:ind w:firstLine="0"/>
              <w:jc w:val="center"/>
              <w:rPr>
                <w:sz w:val="16"/>
                <w:szCs w:val="18"/>
                <w:lang w:val="es-MX"/>
              </w:rPr>
            </w:pPr>
            <w:r>
              <w:rPr>
                <w:sz w:val="16"/>
                <w:szCs w:val="18"/>
                <w:lang w:val="es-MX"/>
              </w:rPr>
              <w:t>19,289,213.76</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DF6BE6" w:rsidP="001158FB">
            <w:pPr>
              <w:pStyle w:val="Texto"/>
              <w:spacing w:line="224" w:lineRule="exact"/>
              <w:ind w:firstLine="0"/>
              <w:jc w:val="center"/>
              <w:rPr>
                <w:sz w:val="16"/>
                <w:szCs w:val="18"/>
                <w:lang w:val="es-MX"/>
              </w:rPr>
            </w:pPr>
            <w:r>
              <w:rPr>
                <w:sz w:val="16"/>
                <w:szCs w:val="18"/>
                <w:lang w:val="es-MX"/>
              </w:rPr>
              <w:t>20,020,056.79</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Pr="003B19FF" w:rsidRDefault="00DF6BE6" w:rsidP="00970655">
            <w:pPr>
              <w:pStyle w:val="Texto"/>
              <w:spacing w:line="224" w:lineRule="exact"/>
              <w:ind w:firstLine="0"/>
              <w:jc w:val="center"/>
              <w:rPr>
                <w:sz w:val="16"/>
                <w:szCs w:val="18"/>
                <w:lang w:val="es-MX"/>
              </w:rPr>
            </w:pPr>
            <w:r>
              <w:rPr>
                <w:sz w:val="16"/>
                <w:szCs w:val="18"/>
                <w:lang w:val="es-MX"/>
              </w:rPr>
              <w:t>19,289,213.76</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14</w:t>
      </w:r>
      <w:r w:rsidRPr="00541102">
        <w:rPr>
          <w:szCs w:val="18"/>
          <w:lang w:val="es-MX"/>
        </w:rPr>
        <w:t xml:space="preserve"> de enero de 20</w:t>
      </w:r>
      <w:r w:rsidR="002862B2">
        <w:rPr>
          <w:szCs w:val="18"/>
          <w:lang w:val="es-MX"/>
        </w:rPr>
        <w:t>20</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DF6BE6">
        <w:rPr>
          <w:szCs w:val="18"/>
          <w:lang w:val="es-MX"/>
        </w:rPr>
        <w:t>Febrero</w:t>
      </w:r>
      <w:r w:rsidR="00E068FB">
        <w:rPr>
          <w:szCs w:val="18"/>
          <w:lang w:val="es-MX"/>
        </w:rPr>
        <w:t xml:space="preserve"> </w:t>
      </w:r>
      <w:r w:rsidR="00C375AF">
        <w:rPr>
          <w:szCs w:val="18"/>
          <w:lang w:val="es-MX"/>
        </w:rPr>
        <w:t>20</w:t>
      </w:r>
      <w:r w:rsidR="002862B2">
        <w:rPr>
          <w:szCs w:val="18"/>
          <w:lang w:val="es-MX"/>
        </w:rPr>
        <w:t>20</w:t>
      </w:r>
      <w:r w:rsidR="00AC5CC5">
        <w:rPr>
          <w:szCs w:val="18"/>
          <w:lang w:val="es-MX"/>
        </w:rPr>
        <w:t>.</w:t>
      </w:r>
      <w:r w:rsidR="00DF6BE6">
        <w:rPr>
          <w:szCs w:val="18"/>
          <w:lang w:val="es-MX"/>
        </w:rPr>
        <w:t>S</w:t>
      </w:r>
      <w:r w:rsidR="00C13640">
        <w:rPr>
          <w:szCs w:val="18"/>
          <w:lang w:val="es-MX"/>
        </w:rPr>
        <w:t>e elaboraron</w:t>
      </w:r>
      <w:r w:rsidR="001F0A79">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2862B2">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235,443,620.40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1B12BD">
                  <w:pPr>
                    <w:jc w:val="right"/>
                    <w:rPr>
                      <w:color w:val="000000"/>
                      <w:sz w:val="20"/>
                      <w:szCs w:val="20"/>
                      <w:lang w:val="es-MX" w:eastAsia="es-MX"/>
                    </w:rPr>
                  </w:pPr>
                  <w:r>
                    <w:rPr>
                      <w:color w:val="000000"/>
                      <w:sz w:val="20"/>
                      <w:szCs w:val="20"/>
                      <w:lang w:val="es-MX" w:eastAsia="es-MX"/>
                    </w:rPr>
                    <w:t>$</w:t>
                  </w:r>
                  <w:r w:rsidR="001B12BD">
                    <w:rPr>
                      <w:color w:val="000000"/>
                      <w:sz w:val="20"/>
                      <w:szCs w:val="20"/>
                      <w:lang w:val="es-MX" w:eastAsia="es-MX"/>
                    </w:rPr>
                    <w:t>190,400,679.27</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C5603C">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1B12BD">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1B12BD">
                    <w:rPr>
                      <w:color w:val="000000"/>
                      <w:sz w:val="20"/>
                      <w:szCs w:val="20"/>
                      <w:lang w:val="es-MX" w:eastAsia="es-MX"/>
                    </w:rPr>
                    <w:t>45,042,941.13</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1B12BD">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1B12BD">
                    <w:rPr>
                      <w:color w:val="000000"/>
                      <w:sz w:val="20"/>
                      <w:szCs w:val="20"/>
                      <w:lang w:val="es-MX" w:eastAsia="es-MX"/>
                    </w:rPr>
                    <w:t>45,042,941.13</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C5603C">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235,518,620.40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1B12BD">
                  <w:pPr>
                    <w:jc w:val="right"/>
                    <w:rPr>
                      <w:color w:val="000000"/>
                      <w:sz w:val="20"/>
                      <w:szCs w:val="20"/>
                      <w:lang w:val="es-MX" w:eastAsia="es-MX"/>
                    </w:rPr>
                  </w:pPr>
                  <w:r w:rsidRPr="00541102">
                    <w:rPr>
                      <w:color w:val="000000"/>
                      <w:sz w:val="20"/>
                      <w:szCs w:val="20"/>
                      <w:lang w:val="es-MX" w:eastAsia="es-MX"/>
                    </w:rPr>
                    <w:t>$</w:t>
                  </w:r>
                  <w:r w:rsidR="001B12BD">
                    <w:rPr>
                      <w:color w:val="000000"/>
                      <w:sz w:val="20"/>
                      <w:szCs w:val="20"/>
                      <w:lang w:val="es-MX" w:eastAsia="es-MX"/>
                    </w:rPr>
                    <w:t>207,187,626.38</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-75,000.00</w:t>
                  </w:r>
                </w:p>
                <w:p w:rsidR="009348E6" w:rsidRPr="00541102" w:rsidRDefault="009348E6" w:rsidP="001B12BD">
                  <w:pPr>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1B12BD">
                    <w:rPr>
                      <w:color w:val="000000"/>
                      <w:sz w:val="20"/>
                      <w:szCs w:val="20"/>
                      <w:lang w:val="es-MX" w:eastAsia="es-MX"/>
                    </w:rPr>
                    <w:t>28,255,994.02</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1B12BD">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1B12BD">
                    <w:rPr>
                      <w:color w:val="000000"/>
                      <w:sz w:val="20"/>
                      <w:szCs w:val="20"/>
                      <w:lang w:val="es-MX" w:eastAsia="es-MX"/>
                    </w:rPr>
                    <w:t>28,255,994.02</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1B12BD">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1B12BD">
                    <w:rPr>
                      <w:color w:val="000000"/>
                      <w:sz w:val="20"/>
                      <w:szCs w:val="20"/>
                      <w:lang w:val="es-MX" w:eastAsia="es-MX"/>
                    </w:rPr>
                    <w:t>28,255,994.02</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1B12BD">
                    <w:rPr>
                      <w:color w:val="000000"/>
                      <w:sz w:val="20"/>
                      <w:szCs w:val="20"/>
                      <w:lang w:val="es-MX" w:eastAsia="es-MX"/>
                    </w:rPr>
                    <w:t>26,563,872.59</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077D0C" w:rsidP="00A95EBC">
      <w:pPr>
        <w:spacing w:after="98" w:line="216" w:lineRule="exact"/>
        <w:ind w:firstLine="288"/>
        <w:jc w:val="both"/>
        <w:rPr>
          <w:rFonts w:ascii="Arial" w:hAnsi="Arial" w:cs="Arial"/>
          <w:sz w:val="18"/>
          <w:szCs w:val="18"/>
          <w:lang w:val="es-MX"/>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r w:rsidR="00A95EBC" w:rsidRPr="00A95EBC">
          <w:rPr>
            <w:rFonts w:ascii="Arial" w:hAnsi="Arial" w:cs="Arial"/>
            <w:color w:val="0B0080"/>
            <w:sz w:val="21"/>
            <w:szCs w:val="21"/>
            <w:shd w:val="clear" w:color="auto" w:fill="FFFFFF"/>
          </w:rPr>
          <w:t>58 municipios</w:t>
        </w:r>
      </w:hyperlink>
      <w:r w:rsidR="00A95EBC" w:rsidRPr="00A95EBC">
        <w:rPr>
          <w:rFonts w:ascii="Arial" w:hAnsi="Arial" w:cs="Arial"/>
          <w:color w:val="252525"/>
          <w:sz w:val="21"/>
          <w:szCs w:val="21"/>
          <w:shd w:val="clear" w:color="auto" w:fill="FFFFFF"/>
        </w:rPr>
        <w:t> que constituyen el </w:t>
      </w:r>
      <w:hyperlink r:id="rId10" w:tooltip="Organización territorial de México" w:history="1">
        <w:r w:rsidR="00A95EBC" w:rsidRPr="00A95EBC">
          <w:rPr>
            <w:rFonts w:ascii="Arial" w:hAnsi="Arial" w:cs="Arial"/>
            <w:color w:val="0B0080"/>
            <w:sz w:val="21"/>
            <w:szCs w:val="21"/>
            <w:shd w:val="clear" w:color="auto" w:fill="FFFFFF"/>
          </w:rPr>
          <w:t>estado mexicano</w:t>
        </w:r>
      </w:hyperlink>
      <w:r w:rsidR="00A95EBC" w:rsidRPr="00A95EBC">
        <w:rPr>
          <w:rFonts w:ascii="Arial" w:hAnsi="Arial" w:cs="Arial"/>
          <w:color w:val="252525"/>
          <w:sz w:val="21"/>
          <w:szCs w:val="21"/>
          <w:shd w:val="clear" w:color="auto" w:fill="FFFFFF"/>
        </w:rPr>
        <w:t> de </w:t>
      </w:r>
      <w:hyperlink r:id="rId11" w:tooltip="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Se encuentra localizado al </w:t>
      </w:r>
      <w:r>
        <w:rPr>
          <w:rFonts w:ascii="Arial" w:hAnsi="Arial" w:cs="Arial"/>
          <w:color w:val="252525"/>
          <w:sz w:val="21"/>
          <w:szCs w:val="21"/>
          <w:shd w:val="clear" w:color="auto" w:fill="FFFFFF"/>
        </w:rPr>
        <w:t xml:space="preserve">centro </w:t>
      </w:r>
      <w:r w:rsidR="00A95EBC"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00A95EBC" w:rsidRPr="00A95EBC">
          <w:rPr>
            <w:rFonts w:ascii="Arial" w:hAnsi="Arial" w:cs="Arial"/>
            <w:color w:val="0B0080"/>
            <w:sz w:val="21"/>
            <w:szCs w:val="21"/>
            <w:shd w:val="clear" w:color="auto" w:fill="FFFFFF"/>
          </w:rPr>
          <w:t>San Luis Potosí</w:t>
        </w:r>
      </w:hyperlink>
      <w:r w:rsidR="00A95EBC"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00A95EBC"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00A95EBC"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00A95EBC"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00A95EBC"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00A95EBC" w:rsidRPr="00A95EBC">
        <w:rPr>
          <w:rFonts w:ascii="Arial" w:hAnsi="Arial" w:cs="Arial"/>
          <w:color w:val="252525"/>
          <w:sz w:val="21"/>
          <w:szCs w:val="21"/>
          <w:shd w:val="clear" w:color="auto" w:fill="FFFFFF"/>
        </w:rPr>
        <w:t> Fue fundado en </w:t>
      </w:r>
      <w:hyperlink r:id="rId13" w:tooltip="1617" w:history="1">
        <w:r w:rsidR="00A95EBC"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00A95EBC"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00A95EBC"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00A95EBC"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00A95EBC" w:rsidRPr="00A95EBC">
        <w:rPr>
          <w:rFonts w:ascii="Arial" w:hAnsi="Arial" w:cs="Arial"/>
          <w:color w:val="252525"/>
          <w:sz w:val="21"/>
          <w:szCs w:val="21"/>
          <w:shd w:val="clear" w:color="auto" w:fill="FFFFFF"/>
        </w:rPr>
        <w:t>.</w:t>
      </w:r>
      <w:r w:rsidR="00A95EBC"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lastRenderedPageBreak/>
        <w:t xml:space="preserve">         d)    </w:t>
      </w:r>
      <w:r w:rsidRPr="00A95EBC">
        <w:rPr>
          <w:rFonts w:ascii="Arial" w:hAnsi="Arial" w:cs="Arial"/>
          <w:sz w:val="18"/>
          <w:szCs w:val="18"/>
        </w:rPr>
        <w:t xml:space="preserve">La información financiera presentada por el municipio es en moneda nacional, se realizan        </w:t>
      </w:r>
      <w:r w:rsidR="0027707A">
        <w:rPr>
          <w:rFonts w:ascii="Arial" w:hAnsi="Arial" w:cs="Arial"/>
          <w:sz w:val="18"/>
          <w:szCs w:val="18"/>
        </w:rPr>
        <w:t>operación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1B12BD">
        <w:rPr>
          <w:rFonts w:ascii="Arial" w:hAnsi="Arial" w:cs="Arial"/>
          <w:sz w:val="18"/>
          <w:szCs w:val="18"/>
        </w:rPr>
        <w:t>Febrero</w:t>
      </w:r>
      <w:r w:rsidR="00C5603C">
        <w:rPr>
          <w:rFonts w:ascii="Arial" w:hAnsi="Arial" w:cs="Arial"/>
          <w:sz w:val="18"/>
          <w:szCs w:val="18"/>
        </w:rPr>
        <w:t xml:space="preserve"> 2020</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en el </w:t>
      </w:r>
      <w:r w:rsidR="004B2A13">
        <w:rPr>
          <w:rFonts w:ascii="Arial" w:hAnsi="Arial" w:cs="Arial"/>
          <w:sz w:val="18"/>
          <w:szCs w:val="18"/>
        </w:rPr>
        <w:t xml:space="preserve">mes de </w:t>
      </w:r>
      <w:r w:rsidR="004C66C9">
        <w:rPr>
          <w:rFonts w:ascii="Arial" w:hAnsi="Arial" w:cs="Arial"/>
          <w:sz w:val="18"/>
          <w:szCs w:val="18"/>
        </w:rPr>
        <w:t>Febrero</w:t>
      </w:r>
      <w:r w:rsidRPr="00A95EBC">
        <w:rPr>
          <w:rFonts w:ascii="Arial" w:hAnsi="Arial" w:cs="Arial"/>
          <w:sz w:val="18"/>
          <w:szCs w:val="18"/>
        </w:rPr>
        <w:t xml:space="preserve"> 20</w:t>
      </w:r>
      <w:r w:rsidR="00C5603C">
        <w:rPr>
          <w:rFonts w:ascii="Arial" w:hAnsi="Arial" w:cs="Arial"/>
          <w:sz w:val="18"/>
          <w:szCs w:val="18"/>
        </w:rPr>
        <w:t>20</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4C66C9">
        <w:rPr>
          <w:rFonts w:ascii="Arial" w:hAnsi="Arial" w:cs="Arial"/>
          <w:sz w:val="18"/>
          <w:szCs w:val="18"/>
        </w:rPr>
        <w:t>04.95</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ingresos netos obtenidos durante el </w:t>
      </w:r>
      <w:r w:rsidR="001008F9">
        <w:rPr>
          <w:rFonts w:ascii="Arial" w:hAnsi="Arial" w:cs="Arial"/>
          <w:sz w:val="18"/>
          <w:szCs w:val="18"/>
        </w:rPr>
        <w:t>mes</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2020</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LIC.ERIKA IRAZEMA BRIONES PEREZ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PRESIDENTA</w:t>
            </w:r>
            <w:r w:rsidR="00A95EBC" w:rsidRPr="00A95EBC">
              <w:rPr>
                <w:rFonts w:ascii="Arial" w:hAnsi="Arial" w:cs="Arial"/>
                <w:b/>
                <w:bCs/>
                <w:color w:val="000000"/>
                <w:sz w:val="18"/>
                <w:szCs w:val="18"/>
              </w:rPr>
              <w:t xml:space="preserve"> MUNICIPAL</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2AB" w:rsidRDefault="00B712AB" w:rsidP="00573FE7">
      <w:r>
        <w:separator/>
      </w:r>
    </w:p>
  </w:endnote>
  <w:endnote w:type="continuationSeparator" w:id="0">
    <w:p w:rsidR="00B712AB" w:rsidRDefault="00B712AB"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4C66C9">
              <w:rPr>
                <w:rFonts w:ascii="Arial" w:hAnsi="Arial" w:cs="Arial"/>
                <w:b/>
                <w:noProof/>
                <w:sz w:val="18"/>
                <w:szCs w:val="18"/>
              </w:rPr>
              <w:t>1</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4C66C9">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2AB" w:rsidRDefault="00B712AB" w:rsidP="00573FE7">
      <w:r>
        <w:separator/>
      </w:r>
    </w:p>
  </w:footnote>
  <w:footnote w:type="continuationSeparator" w:id="0">
    <w:p w:rsidR="00B712AB" w:rsidRDefault="00B712AB"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4666"/>
    <w:rsid w:val="000433BA"/>
    <w:rsid w:val="000503A1"/>
    <w:rsid w:val="0005041F"/>
    <w:rsid w:val="00050A53"/>
    <w:rsid w:val="00053B63"/>
    <w:rsid w:val="00056D3D"/>
    <w:rsid w:val="0006223B"/>
    <w:rsid w:val="000660E9"/>
    <w:rsid w:val="00076A1D"/>
    <w:rsid w:val="0007719C"/>
    <w:rsid w:val="00077D0C"/>
    <w:rsid w:val="00082672"/>
    <w:rsid w:val="00082B60"/>
    <w:rsid w:val="0009454F"/>
    <w:rsid w:val="000B34D5"/>
    <w:rsid w:val="000B396A"/>
    <w:rsid w:val="000B3E84"/>
    <w:rsid w:val="000C6709"/>
    <w:rsid w:val="000D367E"/>
    <w:rsid w:val="000E7CD7"/>
    <w:rsid w:val="000F17DA"/>
    <w:rsid w:val="001008F9"/>
    <w:rsid w:val="001075BF"/>
    <w:rsid w:val="00116B37"/>
    <w:rsid w:val="0012099B"/>
    <w:rsid w:val="00123AFE"/>
    <w:rsid w:val="001272C9"/>
    <w:rsid w:val="0013212E"/>
    <w:rsid w:val="001509E1"/>
    <w:rsid w:val="00153C18"/>
    <w:rsid w:val="00155A37"/>
    <w:rsid w:val="00161F58"/>
    <w:rsid w:val="00163D56"/>
    <w:rsid w:val="00167E46"/>
    <w:rsid w:val="00185AD7"/>
    <w:rsid w:val="001946FD"/>
    <w:rsid w:val="001B12BD"/>
    <w:rsid w:val="001B32F9"/>
    <w:rsid w:val="001B78A3"/>
    <w:rsid w:val="001C0C75"/>
    <w:rsid w:val="001C4994"/>
    <w:rsid w:val="001D15B8"/>
    <w:rsid w:val="001E4358"/>
    <w:rsid w:val="001F0792"/>
    <w:rsid w:val="001F0A79"/>
    <w:rsid w:val="002065BD"/>
    <w:rsid w:val="00210884"/>
    <w:rsid w:val="00210C8F"/>
    <w:rsid w:val="00231B0D"/>
    <w:rsid w:val="0024322D"/>
    <w:rsid w:val="002469C2"/>
    <w:rsid w:val="002516B8"/>
    <w:rsid w:val="00261222"/>
    <w:rsid w:val="00267DBC"/>
    <w:rsid w:val="0027707A"/>
    <w:rsid w:val="0028449F"/>
    <w:rsid w:val="002862B2"/>
    <w:rsid w:val="00286B41"/>
    <w:rsid w:val="002C090D"/>
    <w:rsid w:val="002C1E56"/>
    <w:rsid w:val="002F2EEF"/>
    <w:rsid w:val="00317781"/>
    <w:rsid w:val="00320A62"/>
    <w:rsid w:val="00325630"/>
    <w:rsid w:val="00335BCE"/>
    <w:rsid w:val="00352890"/>
    <w:rsid w:val="0035292C"/>
    <w:rsid w:val="00352D34"/>
    <w:rsid w:val="0036284E"/>
    <w:rsid w:val="00373664"/>
    <w:rsid w:val="00380E87"/>
    <w:rsid w:val="00381B9B"/>
    <w:rsid w:val="00392A15"/>
    <w:rsid w:val="003A0E5F"/>
    <w:rsid w:val="003A3B31"/>
    <w:rsid w:val="003A5FC4"/>
    <w:rsid w:val="003B19FF"/>
    <w:rsid w:val="003B731A"/>
    <w:rsid w:val="003C0BFC"/>
    <w:rsid w:val="003D7F03"/>
    <w:rsid w:val="003E0226"/>
    <w:rsid w:val="003E2B90"/>
    <w:rsid w:val="003E7FEF"/>
    <w:rsid w:val="00403EF0"/>
    <w:rsid w:val="00412DDD"/>
    <w:rsid w:val="0043009F"/>
    <w:rsid w:val="0044745D"/>
    <w:rsid w:val="00455D00"/>
    <w:rsid w:val="00491B98"/>
    <w:rsid w:val="004B2A13"/>
    <w:rsid w:val="004C46C8"/>
    <w:rsid w:val="004C66C9"/>
    <w:rsid w:val="004E0B76"/>
    <w:rsid w:val="004E45CE"/>
    <w:rsid w:val="004E48EC"/>
    <w:rsid w:val="00500D43"/>
    <w:rsid w:val="00505244"/>
    <w:rsid w:val="00514C55"/>
    <w:rsid w:val="00515DAF"/>
    <w:rsid w:val="00515E78"/>
    <w:rsid w:val="00524FB7"/>
    <w:rsid w:val="0053417D"/>
    <w:rsid w:val="00541102"/>
    <w:rsid w:val="00550B01"/>
    <w:rsid w:val="00553210"/>
    <w:rsid w:val="00557F45"/>
    <w:rsid w:val="00570D1F"/>
    <w:rsid w:val="00573FE7"/>
    <w:rsid w:val="005C0224"/>
    <w:rsid w:val="005C045F"/>
    <w:rsid w:val="005C04E1"/>
    <w:rsid w:val="005C544E"/>
    <w:rsid w:val="005E4D5B"/>
    <w:rsid w:val="005F26A5"/>
    <w:rsid w:val="005F47EE"/>
    <w:rsid w:val="005F4BB6"/>
    <w:rsid w:val="00607A6B"/>
    <w:rsid w:val="00607D99"/>
    <w:rsid w:val="006136EF"/>
    <w:rsid w:val="00617549"/>
    <w:rsid w:val="00622D8D"/>
    <w:rsid w:val="00642357"/>
    <w:rsid w:val="00656F07"/>
    <w:rsid w:val="00664C18"/>
    <w:rsid w:val="00665D7D"/>
    <w:rsid w:val="00671232"/>
    <w:rsid w:val="00677974"/>
    <w:rsid w:val="00690A30"/>
    <w:rsid w:val="006B1A3E"/>
    <w:rsid w:val="006C07F1"/>
    <w:rsid w:val="006C0F37"/>
    <w:rsid w:val="006E3D06"/>
    <w:rsid w:val="007059D2"/>
    <w:rsid w:val="00712F6A"/>
    <w:rsid w:val="007163CB"/>
    <w:rsid w:val="007201F9"/>
    <w:rsid w:val="00721B2E"/>
    <w:rsid w:val="007324A3"/>
    <w:rsid w:val="007335A3"/>
    <w:rsid w:val="0074252C"/>
    <w:rsid w:val="00743A27"/>
    <w:rsid w:val="00750498"/>
    <w:rsid w:val="007565EB"/>
    <w:rsid w:val="007819A6"/>
    <w:rsid w:val="00782FE5"/>
    <w:rsid w:val="00794A64"/>
    <w:rsid w:val="007A20B4"/>
    <w:rsid w:val="007A4AAD"/>
    <w:rsid w:val="007B39A8"/>
    <w:rsid w:val="007B6E68"/>
    <w:rsid w:val="007D348D"/>
    <w:rsid w:val="007D5743"/>
    <w:rsid w:val="007D6AEB"/>
    <w:rsid w:val="007E08B4"/>
    <w:rsid w:val="007F37C0"/>
    <w:rsid w:val="00802040"/>
    <w:rsid w:val="00817281"/>
    <w:rsid w:val="008309ED"/>
    <w:rsid w:val="00831142"/>
    <w:rsid w:val="0086016C"/>
    <w:rsid w:val="00862B90"/>
    <w:rsid w:val="0086495F"/>
    <w:rsid w:val="00884E3F"/>
    <w:rsid w:val="00890410"/>
    <w:rsid w:val="008A77D6"/>
    <w:rsid w:val="008B1213"/>
    <w:rsid w:val="008B6538"/>
    <w:rsid w:val="008B7ACE"/>
    <w:rsid w:val="008C1A35"/>
    <w:rsid w:val="008E4F5F"/>
    <w:rsid w:val="008F6A05"/>
    <w:rsid w:val="008F72FB"/>
    <w:rsid w:val="009033EC"/>
    <w:rsid w:val="00904396"/>
    <w:rsid w:val="00906F43"/>
    <w:rsid w:val="00910689"/>
    <w:rsid w:val="00914A0E"/>
    <w:rsid w:val="009348E6"/>
    <w:rsid w:val="0094172B"/>
    <w:rsid w:val="00950E25"/>
    <w:rsid w:val="00961F5A"/>
    <w:rsid w:val="00970655"/>
    <w:rsid w:val="009716DA"/>
    <w:rsid w:val="009834EC"/>
    <w:rsid w:val="00996DE8"/>
    <w:rsid w:val="009974E4"/>
    <w:rsid w:val="009A15D6"/>
    <w:rsid w:val="009B6725"/>
    <w:rsid w:val="009C28A3"/>
    <w:rsid w:val="009C2E1B"/>
    <w:rsid w:val="009C30CC"/>
    <w:rsid w:val="009D4207"/>
    <w:rsid w:val="009E46F7"/>
    <w:rsid w:val="00A034DA"/>
    <w:rsid w:val="00A043E4"/>
    <w:rsid w:val="00A15F19"/>
    <w:rsid w:val="00A2010B"/>
    <w:rsid w:val="00A2383C"/>
    <w:rsid w:val="00A30343"/>
    <w:rsid w:val="00A32074"/>
    <w:rsid w:val="00A430F5"/>
    <w:rsid w:val="00A53D5E"/>
    <w:rsid w:val="00A603C8"/>
    <w:rsid w:val="00A6099E"/>
    <w:rsid w:val="00A613E1"/>
    <w:rsid w:val="00A71A1D"/>
    <w:rsid w:val="00A71CEA"/>
    <w:rsid w:val="00A95EBC"/>
    <w:rsid w:val="00AA158F"/>
    <w:rsid w:val="00AB12D6"/>
    <w:rsid w:val="00AC07B9"/>
    <w:rsid w:val="00AC49B2"/>
    <w:rsid w:val="00AC5CC5"/>
    <w:rsid w:val="00AC632D"/>
    <w:rsid w:val="00AD728D"/>
    <w:rsid w:val="00B16AC2"/>
    <w:rsid w:val="00B22044"/>
    <w:rsid w:val="00B37AFC"/>
    <w:rsid w:val="00B41C6B"/>
    <w:rsid w:val="00B60037"/>
    <w:rsid w:val="00B67F05"/>
    <w:rsid w:val="00B712AB"/>
    <w:rsid w:val="00B72824"/>
    <w:rsid w:val="00B80DFC"/>
    <w:rsid w:val="00B862AD"/>
    <w:rsid w:val="00B943DF"/>
    <w:rsid w:val="00B97202"/>
    <w:rsid w:val="00BA24E8"/>
    <w:rsid w:val="00BB4958"/>
    <w:rsid w:val="00BC079B"/>
    <w:rsid w:val="00BC264E"/>
    <w:rsid w:val="00BE0074"/>
    <w:rsid w:val="00BE04C2"/>
    <w:rsid w:val="00BE5469"/>
    <w:rsid w:val="00BE6E1B"/>
    <w:rsid w:val="00BF3BF8"/>
    <w:rsid w:val="00C010CE"/>
    <w:rsid w:val="00C035DC"/>
    <w:rsid w:val="00C041B3"/>
    <w:rsid w:val="00C10EC6"/>
    <w:rsid w:val="00C12B86"/>
    <w:rsid w:val="00C13640"/>
    <w:rsid w:val="00C2570A"/>
    <w:rsid w:val="00C36A42"/>
    <w:rsid w:val="00C375AF"/>
    <w:rsid w:val="00C4208D"/>
    <w:rsid w:val="00C4283B"/>
    <w:rsid w:val="00C5003B"/>
    <w:rsid w:val="00C5603C"/>
    <w:rsid w:val="00C6009D"/>
    <w:rsid w:val="00C63425"/>
    <w:rsid w:val="00C92939"/>
    <w:rsid w:val="00C93077"/>
    <w:rsid w:val="00C96432"/>
    <w:rsid w:val="00C97BF5"/>
    <w:rsid w:val="00CB42C0"/>
    <w:rsid w:val="00CC1964"/>
    <w:rsid w:val="00CF7F18"/>
    <w:rsid w:val="00D02BE2"/>
    <w:rsid w:val="00D12903"/>
    <w:rsid w:val="00D170B3"/>
    <w:rsid w:val="00D517B3"/>
    <w:rsid w:val="00D55799"/>
    <w:rsid w:val="00D73451"/>
    <w:rsid w:val="00D82BF6"/>
    <w:rsid w:val="00D91D64"/>
    <w:rsid w:val="00D96F89"/>
    <w:rsid w:val="00DB06F0"/>
    <w:rsid w:val="00DB2A04"/>
    <w:rsid w:val="00DB59EC"/>
    <w:rsid w:val="00DB6FE3"/>
    <w:rsid w:val="00DC18A2"/>
    <w:rsid w:val="00DC7A26"/>
    <w:rsid w:val="00DF50AA"/>
    <w:rsid w:val="00DF6BE6"/>
    <w:rsid w:val="00E068FB"/>
    <w:rsid w:val="00E16F97"/>
    <w:rsid w:val="00E253BB"/>
    <w:rsid w:val="00E34833"/>
    <w:rsid w:val="00E77984"/>
    <w:rsid w:val="00E81DB2"/>
    <w:rsid w:val="00E84C10"/>
    <w:rsid w:val="00E855BA"/>
    <w:rsid w:val="00E94D71"/>
    <w:rsid w:val="00EA4628"/>
    <w:rsid w:val="00EA527F"/>
    <w:rsid w:val="00EA7E11"/>
    <w:rsid w:val="00EB470E"/>
    <w:rsid w:val="00EC05AF"/>
    <w:rsid w:val="00EC64DD"/>
    <w:rsid w:val="00ED7235"/>
    <w:rsid w:val="00EF556B"/>
    <w:rsid w:val="00F04165"/>
    <w:rsid w:val="00F12634"/>
    <w:rsid w:val="00F16AA0"/>
    <w:rsid w:val="00F23ED4"/>
    <w:rsid w:val="00F256EB"/>
    <w:rsid w:val="00F27EDD"/>
    <w:rsid w:val="00F47FDF"/>
    <w:rsid w:val="00F71AE6"/>
    <w:rsid w:val="00F73F61"/>
    <w:rsid w:val="00F749F0"/>
    <w:rsid w:val="00F77F0E"/>
    <w:rsid w:val="00F83920"/>
    <w:rsid w:val="00F84D34"/>
    <w:rsid w:val="00FA76F8"/>
    <w:rsid w:val="00FB765F"/>
    <w:rsid w:val="00FB7F57"/>
    <w:rsid w:val="00FC2FD1"/>
    <w:rsid w:val="00FD31C4"/>
    <w:rsid w:val="00FE6815"/>
    <w:rsid w:val="00FF0077"/>
    <w:rsid w:val="00FF2857"/>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A5DB2-C69E-4FCF-96E0-26347B26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1</Pages>
  <Words>2099</Words>
  <Characters>11550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85</cp:revision>
  <cp:lastPrinted>2019-03-13T16:43:00Z</cp:lastPrinted>
  <dcterms:created xsi:type="dcterms:W3CDTF">2016-01-25T18:46:00Z</dcterms:created>
  <dcterms:modified xsi:type="dcterms:W3CDTF">2020-05-25T18:38:00Z</dcterms:modified>
</cp:coreProperties>
</file>