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FD10B3">
        <w:rPr>
          <w:b/>
          <w:smallCaps/>
          <w:szCs w:val="18"/>
        </w:rPr>
        <w:t>1</w:t>
      </w:r>
      <w:r w:rsidR="00261222">
        <w:rPr>
          <w:b/>
          <w:smallCaps/>
          <w:szCs w:val="18"/>
        </w:rPr>
        <w:t xml:space="preserve"> de </w:t>
      </w:r>
      <w:r w:rsidR="00FD10B3">
        <w:rPr>
          <w:b/>
          <w:smallCaps/>
          <w:szCs w:val="18"/>
        </w:rPr>
        <w:t>Diciembre</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FD10B3">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FD10B3">
        <w:rPr>
          <w:lang w:val="es-MX"/>
        </w:rPr>
        <w:t>Diciembre</w:t>
      </w:r>
      <w:r w:rsidRPr="005C045F">
        <w:rPr>
          <w:lang w:val="es-MX"/>
        </w:rPr>
        <w:t xml:space="preserve">  es por cantidad de $</w:t>
      </w:r>
      <w:r w:rsidR="00050A53">
        <w:rPr>
          <w:lang w:val="es-MX"/>
        </w:rPr>
        <w:t xml:space="preserve"> </w:t>
      </w:r>
      <w:r w:rsidR="00FD10B3">
        <w:rPr>
          <w:lang w:val="es-MX"/>
        </w:rPr>
        <w:t>5,533,437.08</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101,278.31</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FD10B3">
        <w:rPr>
          <w:lang w:val="es-MX"/>
        </w:rPr>
        <w:t>Diciembre</w:t>
      </w:r>
      <w:r w:rsidR="001F0792">
        <w:rPr>
          <w:lang w:val="es-MX"/>
        </w:rPr>
        <w:t xml:space="preserve"> 2020</w:t>
      </w:r>
      <w:r w:rsidR="00161F58" w:rsidRPr="00056D3D">
        <w:rPr>
          <w:lang w:val="es-MX"/>
        </w:rPr>
        <w:t xml:space="preserve"> es por la cantidad de $</w:t>
      </w:r>
      <w:r w:rsidR="009C5D52">
        <w:rPr>
          <w:lang w:val="es-MX"/>
        </w:rPr>
        <w:t xml:space="preserve"> </w:t>
      </w:r>
      <w:r w:rsidR="00FD10B3">
        <w:rPr>
          <w:lang w:val="es-MX"/>
        </w:rPr>
        <w:t>7,170,202.12</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45249B">
        <w:rPr>
          <w:lang w:val="es-MX"/>
        </w:rPr>
        <w:t>3</w:t>
      </w:r>
      <w:r w:rsidR="00FD10B3">
        <w:rPr>
          <w:lang w:val="es-MX"/>
        </w:rPr>
        <w:t>1</w:t>
      </w:r>
      <w:r>
        <w:rPr>
          <w:lang w:val="es-MX"/>
        </w:rPr>
        <w:t xml:space="preserve"> de </w:t>
      </w:r>
      <w:r w:rsidR="00FD10B3">
        <w:rPr>
          <w:lang w:val="es-MX"/>
        </w:rPr>
        <w:t>Diciembre</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w:t>
      </w:r>
      <w:r w:rsidR="002042C4">
        <w:rPr>
          <w:lang w:val="es-MX"/>
        </w:rPr>
        <w:t xml:space="preserve"> </w:t>
      </w:r>
      <w:r w:rsidR="0045249B">
        <w:rPr>
          <w:lang w:val="es-MX"/>
        </w:rPr>
        <w:t>47,</w:t>
      </w:r>
      <w:r w:rsidR="00605263">
        <w:rPr>
          <w:lang w:val="es-MX"/>
        </w:rPr>
        <w:t>696,200.48</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9C6168">
        <w:rPr>
          <w:lang w:val="es-MX"/>
        </w:rPr>
        <w:t>17,</w:t>
      </w:r>
      <w:r w:rsidR="0045249B">
        <w:rPr>
          <w:lang w:val="es-MX"/>
        </w:rPr>
        <w:t>443</w:t>
      </w:r>
      <w:r w:rsidR="009C6168">
        <w:rPr>
          <w:lang w:val="es-MX"/>
        </w:rPr>
        <w:t>,</w:t>
      </w:r>
      <w:r w:rsidR="0045249B">
        <w:rPr>
          <w:lang w:val="es-MX"/>
        </w:rPr>
        <w:t>884</w:t>
      </w:r>
      <w:r w:rsidR="009C6168">
        <w:rPr>
          <w:lang w:val="es-MX"/>
        </w:rPr>
        <w:t>.</w:t>
      </w:r>
      <w:r w:rsidR="0045249B">
        <w:rPr>
          <w:lang w:val="es-MX"/>
        </w:rPr>
        <w:t>3</w:t>
      </w:r>
      <w:r w:rsidR="009C6168">
        <w:rPr>
          <w:lang w:val="es-MX"/>
        </w:rPr>
        <w:t>4</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Constructora Sarubi,</w:t>
      </w:r>
      <w:r w:rsidR="00C05E65">
        <w:rPr>
          <w:lang w:val="es-MX"/>
        </w:rPr>
        <w:t xml:space="preserve"> </w:t>
      </w:r>
      <w:r w:rsidR="00B67F05">
        <w:rPr>
          <w:lang w:val="es-MX"/>
        </w:rPr>
        <w:t>S.A.de C.V. por $</w:t>
      </w:r>
      <w:r w:rsidR="00F51395">
        <w:rPr>
          <w:lang w:val="es-MX"/>
        </w:rPr>
        <w:t xml:space="preserve"> </w:t>
      </w:r>
      <w:r w:rsidR="001F1EDF">
        <w:rPr>
          <w:lang w:val="es-MX"/>
        </w:rPr>
        <w:t>3,328,143.28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Lizeth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w:t>
      </w:r>
      <w:r w:rsidR="001F1EDF">
        <w:rPr>
          <w:lang w:val="es-MX"/>
        </w:rPr>
        <w:t xml:space="preserve">Plasticos y Blancos la Feria,S.A. de C.v. $ 855,055.83, </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1F1EDF">
        <w:rPr>
          <w:lang w:val="es-MX"/>
        </w:rPr>
        <w:t>18,469,425.81</w:t>
      </w:r>
      <w:r w:rsidR="009C6168">
        <w:rPr>
          <w:lang w:val="es-MX"/>
        </w:rPr>
        <w:t>,</w:t>
      </w:r>
      <w:r w:rsidR="00A137C9">
        <w:rPr>
          <w:lang w:val="es-MX"/>
        </w:rPr>
        <w:t xml:space="preserve"> Alan Gerardo Vazquez Berrones por $ 580,000.00</w:t>
      </w:r>
      <w:r w:rsidR="00C57178">
        <w:rPr>
          <w:lang w:val="es-MX"/>
        </w:rPr>
        <w:t xml:space="preserve"> y 911 Infraestructura y Desarrollos, S.A. de C.V. por $ 342,200.00</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6B7604"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A137C9">
        <w:rPr>
          <w:lang w:val="es-MX"/>
        </w:rPr>
        <w:t>Diciembre</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A137C9">
        <w:rPr>
          <w:lang w:val="es-MX"/>
        </w:rPr>
        <w:t>10,195,761.24</w:t>
      </w:r>
      <w:r w:rsidR="00A043E4">
        <w:rPr>
          <w:lang w:val="es-MX"/>
        </w:rPr>
        <w:t xml:space="preserve"> </w:t>
      </w:r>
      <w:r>
        <w:rPr>
          <w:lang w:val="es-MX"/>
        </w:rPr>
        <w:t>.</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D307C0">
        <w:rPr>
          <w:lang w:val="es-MX"/>
        </w:rPr>
        <w:t>Materiales,Utiles y Equipos Menores de Oficina por $ 311,331.43, Medicinas y Productos Farmaceuticos $ 361,010.24</w:t>
      </w:r>
      <w:r w:rsidR="006B7604">
        <w:rPr>
          <w:lang w:val="es-MX"/>
        </w:rPr>
        <w:t xml:space="preserve"> </w:t>
      </w:r>
      <w:r w:rsidR="009033EC">
        <w:rPr>
          <w:lang w:val="es-MX"/>
        </w:rPr>
        <w:t>Combustible</w:t>
      </w:r>
      <w:r w:rsidR="00D307C0">
        <w:rPr>
          <w:lang w:val="es-MX"/>
        </w:rPr>
        <w:t xml:space="preserve">.Lubricantes y Aditivos $ 965,575.03, </w:t>
      </w:r>
      <w:r w:rsidR="009033EC">
        <w:rPr>
          <w:lang w:val="es-MX"/>
        </w:rPr>
        <w:t>Servicio Energía Eléctrica</w:t>
      </w:r>
      <w:r w:rsidR="00D307C0">
        <w:rPr>
          <w:lang w:val="es-MX"/>
        </w:rPr>
        <w:t xml:space="preserve"> $ 522,056.21 y  </w:t>
      </w:r>
      <w:r w:rsidR="009033EC">
        <w:rPr>
          <w:lang w:val="es-MX"/>
        </w:rPr>
        <w:t xml:space="preserve">Apoyo a Personas de escaso recurso si bien no resuelve la problemática en su totalidad se apoya para atender las </w:t>
      </w:r>
      <w:r>
        <w:rPr>
          <w:lang w:val="es-MX"/>
        </w:rPr>
        <w:t>básicas</w:t>
      </w:r>
      <w:r w:rsidR="00515E78">
        <w:rPr>
          <w:lang w:val="es-MX"/>
        </w:rPr>
        <w:t xml:space="preserve"> por $</w:t>
      </w:r>
      <w:r w:rsidR="00D657EA">
        <w:rPr>
          <w:lang w:val="es-MX"/>
        </w:rPr>
        <w:t xml:space="preserve"> </w:t>
      </w:r>
      <w:r w:rsidR="00D307C0">
        <w:rPr>
          <w:lang w:val="es-MX"/>
        </w:rPr>
        <w:t>8,251,928.05</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D307C0">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AB12D6">
              <w:rPr>
                <w:b/>
                <w:smallCaps/>
                <w:sz w:val="16"/>
                <w:szCs w:val="16"/>
              </w:rPr>
              <w:t>/</w:t>
            </w:r>
            <w:r w:rsidR="00694F05">
              <w:rPr>
                <w:b/>
                <w:smallCaps/>
                <w:sz w:val="16"/>
                <w:szCs w:val="16"/>
              </w:rPr>
              <w:t>1</w:t>
            </w:r>
            <w:r w:rsidR="00D307C0">
              <w:rPr>
                <w:b/>
                <w:smallCaps/>
                <w:sz w:val="16"/>
                <w:szCs w:val="16"/>
              </w:rPr>
              <w:t>2</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D307C0">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AB12D6">
              <w:rPr>
                <w:b/>
                <w:smallCaps/>
                <w:sz w:val="16"/>
                <w:szCs w:val="16"/>
              </w:rPr>
              <w:t>/</w:t>
            </w:r>
            <w:r w:rsidR="00694F05">
              <w:rPr>
                <w:b/>
                <w:smallCaps/>
                <w:sz w:val="16"/>
                <w:szCs w:val="16"/>
              </w:rPr>
              <w:t>1</w:t>
            </w:r>
            <w:r w:rsidR="00D307C0">
              <w:rPr>
                <w:b/>
                <w:smallCaps/>
                <w:sz w:val="16"/>
                <w:szCs w:val="16"/>
              </w:rPr>
              <w:t>2</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D307C0">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AB12D6">
              <w:rPr>
                <w:b/>
                <w:smallCaps/>
                <w:sz w:val="16"/>
                <w:szCs w:val="16"/>
              </w:rPr>
              <w:t>/</w:t>
            </w:r>
            <w:r w:rsidR="00694F05">
              <w:rPr>
                <w:b/>
                <w:smallCaps/>
                <w:sz w:val="16"/>
                <w:szCs w:val="16"/>
              </w:rPr>
              <w:t>1</w:t>
            </w:r>
            <w:r w:rsidR="00D307C0">
              <w:rPr>
                <w:b/>
                <w:smallCaps/>
                <w:sz w:val="16"/>
                <w:szCs w:val="16"/>
              </w:rPr>
              <w:t>2</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Pr>
                <w:b/>
                <w:smallCaps/>
                <w:sz w:val="16"/>
                <w:szCs w:val="16"/>
              </w:rPr>
              <w:t>/</w:t>
            </w:r>
            <w:r w:rsidR="00694F05">
              <w:rPr>
                <w:b/>
                <w:smallCaps/>
                <w:sz w:val="16"/>
                <w:szCs w:val="16"/>
              </w:rPr>
              <w:t>1</w:t>
            </w:r>
            <w:r w:rsidR="00D307C0">
              <w:rPr>
                <w:b/>
                <w:smallCaps/>
                <w:sz w:val="16"/>
                <w:szCs w:val="16"/>
              </w:rPr>
              <w:t>2</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7335A3">
              <w:rPr>
                <w:b/>
                <w:smallCaps/>
                <w:sz w:val="16"/>
                <w:szCs w:val="16"/>
              </w:rPr>
              <w:t>/</w:t>
            </w:r>
            <w:r w:rsidR="00694F05">
              <w:rPr>
                <w:b/>
                <w:smallCaps/>
                <w:sz w:val="16"/>
                <w:szCs w:val="16"/>
              </w:rPr>
              <w:t>1</w:t>
            </w:r>
            <w:r w:rsidR="00D307C0">
              <w:rPr>
                <w:b/>
                <w:smallCaps/>
                <w:sz w:val="16"/>
                <w:szCs w:val="16"/>
              </w:rPr>
              <w:t>2</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D307C0">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C041B3">
              <w:rPr>
                <w:b/>
                <w:smallCaps/>
                <w:sz w:val="16"/>
                <w:szCs w:val="16"/>
              </w:rPr>
              <w:t>/</w:t>
            </w:r>
            <w:r w:rsidR="00694F05">
              <w:rPr>
                <w:b/>
                <w:smallCaps/>
                <w:sz w:val="16"/>
                <w:szCs w:val="16"/>
              </w:rPr>
              <w:t>1</w:t>
            </w:r>
            <w:r w:rsidR="00D307C0">
              <w:rPr>
                <w:b/>
                <w:smallCaps/>
                <w:sz w:val="16"/>
                <w:szCs w:val="16"/>
              </w:rPr>
              <w:t>2</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D307C0" w:rsidP="00DF6BE6">
            <w:pPr>
              <w:pStyle w:val="Texto"/>
              <w:spacing w:line="224" w:lineRule="exact"/>
              <w:ind w:firstLine="0"/>
              <w:jc w:val="center"/>
              <w:rPr>
                <w:sz w:val="16"/>
                <w:szCs w:val="18"/>
                <w:lang w:val="es-MX"/>
              </w:rPr>
            </w:pPr>
            <w:r>
              <w:rPr>
                <w:sz w:val="16"/>
                <w:szCs w:val="18"/>
                <w:lang w:val="es-MX"/>
              </w:rPr>
              <w:t>5,533,437.08</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92277F" w:rsidP="00A27FA9">
            <w:pPr>
              <w:pStyle w:val="Texto"/>
              <w:spacing w:line="224" w:lineRule="exact"/>
              <w:ind w:firstLine="0"/>
              <w:jc w:val="center"/>
              <w:rPr>
                <w:sz w:val="16"/>
                <w:szCs w:val="18"/>
                <w:lang w:val="es-MX"/>
              </w:rPr>
            </w:pPr>
            <w:r>
              <w:rPr>
                <w:sz w:val="16"/>
                <w:szCs w:val="18"/>
                <w:lang w:val="es-MX"/>
              </w:rPr>
              <w:t>8,147,635.80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D307C0" w:rsidP="001158FB">
            <w:pPr>
              <w:pStyle w:val="Texto"/>
              <w:spacing w:line="224" w:lineRule="exact"/>
              <w:ind w:firstLine="0"/>
              <w:jc w:val="center"/>
              <w:rPr>
                <w:sz w:val="16"/>
                <w:szCs w:val="18"/>
                <w:lang w:val="es-MX"/>
              </w:rPr>
            </w:pPr>
            <w:r>
              <w:rPr>
                <w:sz w:val="16"/>
                <w:szCs w:val="18"/>
                <w:lang w:val="es-MX"/>
              </w:rPr>
              <w:t>5,533,437.08</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Default="0092277F" w:rsidP="00970655">
            <w:pPr>
              <w:pStyle w:val="Texto"/>
              <w:spacing w:line="224" w:lineRule="exact"/>
              <w:ind w:firstLine="0"/>
              <w:jc w:val="center"/>
              <w:rPr>
                <w:sz w:val="16"/>
                <w:szCs w:val="18"/>
                <w:lang w:val="es-MX"/>
              </w:rPr>
            </w:pPr>
            <w:r>
              <w:rPr>
                <w:sz w:val="16"/>
                <w:szCs w:val="18"/>
                <w:lang w:val="es-MX"/>
              </w:rPr>
              <w:t>8,147,635.80</w:t>
            </w:r>
          </w:p>
          <w:p w:rsidR="00196EC4" w:rsidRPr="003B19FF" w:rsidRDefault="00196EC4" w:rsidP="00970655">
            <w:pPr>
              <w:pStyle w:val="Texto"/>
              <w:spacing w:line="224" w:lineRule="exact"/>
              <w:ind w:firstLine="0"/>
              <w:jc w:val="center"/>
              <w:rPr>
                <w:sz w:val="16"/>
                <w:szCs w:val="18"/>
                <w:lang w:val="es-MX"/>
              </w:rPr>
            </w:pP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92277F">
        <w:rPr>
          <w:szCs w:val="18"/>
          <w:lang w:val="es-MX"/>
        </w:rPr>
        <w:t>Diciembre</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8D0609">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 xml:space="preserve"> </w:t>
                  </w:r>
                  <w:r w:rsidR="00255D8B">
                    <w:rPr>
                      <w:color w:val="000000"/>
                      <w:sz w:val="20"/>
                      <w:szCs w:val="20"/>
                      <w:lang w:val="es-MX" w:eastAsia="es-MX"/>
                    </w:rPr>
                    <w:t xml:space="preserve"> </w:t>
                  </w:r>
                  <w:r w:rsidR="0092277F">
                    <w:rPr>
                      <w:color w:val="000000"/>
                      <w:sz w:val="20"/>
                      <w:szCs w:val="20"/>
                      <w:lang w:val="es-MX" w:eastAsia="es-MX"/>
                    </w:rPr>
                    <w:t>23,8</w:t>
                  </w:r>
                  <w:r w:rsidR="008D0609">
                    <w:rPr>
                      <w:color w:val="000000"/>
                      <w:sz w:val="20"/>
                      <w:szCs w:val="20"/>
                      <w:lang w:val="es-MX" w:eastAsia="es-MX"/>
                    </w:rPr>
                    <w:t>1</w:t>
                  </w:r>
                  <w:r w:rsidR="0092277F">
                    <w:rPr>
                      <w:color w:val="000000"/>
                      <w:sz w:val="20"/>
                      <w:szCs w:val="20"/>
                      <w:lang w:val="es-MX" w:eastAsia="es-MX"/>
                    </w:rPr>
                    <w:t>6,</w:t>
                  </w:r>
                  <w:r w:rsidR="008D0609">
                    <w:rPr>
                      <w:color w:val="000000"/>
                      <w:sz w:val="20"/>
                      <w:szCs w:val="20"/>
                      <w:lang w:val="es-MX" w:eastAsia="es-MX"/>
                    </w:rPr>
                    <w:t>413</w:t>
                  </w:r>
                  <w:r w:rsidR="0092277F">
                    <w:rPr>
                      <w:color w:val="000000"/>
                      <w:sz w:val="20"/>
                      <w:szCs w:val="20"/>
                      <w:lang w:val="es-MX" w:eastAsia="es-MX"/>
                    </w:rPr>
                    <w:t>.23</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8D0609">
                  <w:pPr>
                    <w:jc w:val="right"/>
                    <w:rPr>
                      <w:color w:val="000000"/>
                      <w:sz w:val="20"/>
                      <w:szCs w:val="20"/>
                      <w:lang w:val="es-MX" w:eastAsia="es-MX"/>
                    </w:rPr>
                  </w:pPr>
                  <w:r>
                    <w:rPr>
                      <w:color w:val="000000"/>
                      <w:sz w:val="20"/>
                      <w:szCs w:val="20"/>
                      <w:lang w:val="es-MX" w:eastAsia="es-MX"/>
                    </w:rPr>
                    <w:t>$</w:t>
                  </w:r>
                  <w:r w:rsidR="0092277F">
                    <w:rPr>
                      <w:color w:val="000000"/>
                      <w:sz w:val="20"/>
                      <w:szCs w:val="20"/>
                      <w:lang w:val="es-MX" w:eastAsia="es-MX"/>
                    </w:rPr>
                    <w:t>215,6</w:t>
                  </w:r>
                  <w:r w:rsidR="008D0609">
                    <w:rPr>
                      <w:color w:val="000000"/>
                      <w:sz w:val="20"/>
                      <w:szCs w:val="20"/>
                      <w:lang w:val="es-MX" w:eastAsia="es-MX"/>
                    </w:rPr>
                    <w:t>27</w:t>
                  </w:r>
                  <w:r w:rsidR="0092277F">
                    <w:rPr>
                      <w:color w:val="000000"/>
                      <w:sz w:val="20"/>
                      <w:szCs w:val="20"/>
                      <w:lang w:val="es-MX" w:eastAsia="es-MX"/>
                    </w:rPr>
                    <w:t>,</w:t>
                  </w:r>
                  <w:r w:rsidR="008D0609">
                    <w:rPr>
                      <w:color w:val="000000"/>
                      <w:sz w:val="20"/>
                      <w:szCs w:val="20"/>
                      <w:lang w:val="es-MX" w:eastAsia="es-MX"/>
                    </w:rPr>
                    <w:t>207</w:t>
                  </w:r>
                  <w:r w:rsidR="0092277F">
                    <w:rPr>
                      <w:color w:val="000000"/>
                      <w:sz w:val="20"/>
                      <w:szCs w:val="20"/>
                      <w:lang w:val="es-MX" w:eastAsia="es-MX"/>
                    </w:rPr>
                    <w:t>.17</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8D0609">
                  <w:pPr>
                    <w:jc w:val="right"/>
                    <w:rPr>
                      <w:color w:val="000000"/>
                      <w:sz w:val="20"/>
                      <w:szCs w:val="20"/>
                      <w:lang w:val="es-MX" w:eastAsia="es-MX"/>
                    </w:rPr>
                  </w:pPr>
                  <w:r>
                    <w:rPr>
                      <w:color w:val="000000"/>
                      <w:sz w:val="20"/>
                      <w:szCs w:val="20"/>
                      <w:lang w:val="es-MX" w:eastAsia="es-MX"/>
                    </w:rPr>
                    <w:t>$</w:t>
                  </w:r>
                  <w:r w:rsidR="0092277F">
                    <w:rPr>
                      <w:color w:val="000000"/>
                      <w:sz w:val="20"/>
                      <w:szCs w:val="20"/>
                      <w:lang w:val="es-MX" w:eastAsia="es-MX"/>
                    </w:rPr>
                    <w:t>215,6</w:t>
                  </w:r>
                  <w:r w:rsidR="008D0609">
                    <w:rPr>
                      <w:color w:val="000000"/>
                      <w:sz w:val="20"/>
                      <w:szCs w:val="20"/>
                      <w:lang w:val="es-MX" w:eastAsia="es-MX"/>
                    </w:rPr>
                    <w:t>2</w:t>
                  </w:r>
                  <w:r w:rsidR="0092277F">
                    <w:rPr>
                      <w:color w:val="000000"/>
                      <w:sz w:val="20"/>
                      <w:szCs w:val="20"/>
                      <w:lang w:val="es-MX" w:eastAsia="es-MX"/>
                    </w:rPr>
                    <w:t>7,</w:t>
                  </w:r>
                  <w:r w:rsidR="008D0609">
                    <w:rPr>
                      <w:color w:val="000000"/>
                      <w:sz w:val="20"/>
                      <w:szCs w:val="20"/>
                      <w:lang w:val="es-MX" w:eastAsia="es-MX"/>
                    </w:rPr>
                    <w:t>207</w:t>
                  </w:r>
                  <w:bookmarkStart w:id="0" w:name="_GoBack"/>
                  <w:bookmarkEnd w:id="0"/>
                  <w:r w:rsidR="0092277F">
                    <w:rPr>
                      <w:color w:val="000000"/>
                      <w:sz w:val="20"/>
                      <w:szCs w:val="20"/>
                      <w:lang w:val="es-MX" w:eastAsia="es-MX"/>
                    </w:rPr>
                    <w:t>.17</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92277F">
                  <w:pPr>
                    <w:jc w:val="right"/>
                    <w:rPr>
                      <w:color w:val="000000"/>
                      <w:sz w:val="20"/>
                      <w:szCs w:val="20"/>
                      <w:lang w:val="es-MX" w:eastAsia="es-MX"/>
                    </w:rPr>
                  </w:pPr>
                  <w:r w:rsidRPr="00541102">
                    <w:rPr>
                      <w:color w:val="000000"/>
                      <w:sz w:val="20"/>
                      <w:szCs w:val="20"/>
                      <w:lang w:val="es-MX" w:eastAsia="es-MX"/>
                    </w:rPr>
                    <w:t>$</w:t>
                  </w:r>
                  <w:r w:rsidR="00E041CC">
                    <w:rPr>
                      <w:color w:val="000000"/>
                      <w:sz w:val="20"/>
                      <w:szCs w:val="20"/>
                      <w:lang w:val="es-MX" w:eastAsia="es-MX"/>
                    </w:rPr>
                    <w:t xml:space="preserve">  </w:t>
                  </w:r>
                  <w:r w:rsidR="0092277F">
                    <w:rPr>
                      <w:color w:val="000000"/>
                      <w:sz w:val="20"/>
                      <w:szCs w:val="20"/>
                      <w:lang w:val="es-MX" w:eastAsia="es-MX"/>
                    </w:rPr>
                    <w:t xml:space="preserve"> 8,516,927.33</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92277F">
                  <w:pPr>
                    <w:rPr>
                      <w:color w:val="000000"/>
                      <w:sz w:val="20"/>
                      <w:szCs w:val="20"/>
                      <w:lang w:val="es-MX" w:eastAsia="es-MX"/>
                    </w:rPr>
                  </w:pPr>
                  <w:r>
                    <w:rPr>
                      <w:color w:val="000000"/>
                      <w:sz w:val="20"/>
                      <w:szCs w:val="20"/>
                      <w:lang w:val="es-MX" w:eastAsia="es-MX"/>
                    </w:rPr>
                    <w:t>$</w:t>
                  </w:r>
                  <w:r w:rsidR="0092277F">
                    <w:rPr>
                      <w:color w:val="000000"/>
                      <w:sz w:val="20"/>
                      <w:szCs w:val="20"/>
                      <w:lang w:val="es-MX" w:eastAsia="es-MX"/>
                    </w:rPr>
                    <w:t>230,926,693.07</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92277F">
                  <w:pPr>
                    <w:jc w:val="right"/>
                    <w:rPr>
                      <w:color w:val="000000"/>
                      <w:sz w:val="20"/>
                      <w:szCs w:val="20"/>
                      <w:lang w:val="es-MX" w:eastAsia="es-MX"/>
                    </w:rPr>
                  </w:pPr>
                  <w:r>
                    <w:rPr>
                      <w:color w:val="000000"/>
                      <w:sz w:val="20"/>
                      <w:szCs w:val="20"/>
                      <w:lang w:val="es-MX" w:eastAsia="es-MX"/>
                    </w:rPr>
                    <w:t>$</w:t>
                  </w:r>
                  <w:r w:rsidR="0092277F">
                    <w:rPr>
                      <w:color w:val="000000"/>
                      <w:sz w:val="20"/>
                      <w:szCs w:val="20"/>
                      <w:lang w:val="es-MX" w:eastAsia="es-MX"/>
                    </w:rPr>
                    <w:t>230,926,692.79</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92277F">
                  <w:pPr>
                    <w:jc w:val="right"/>
                    <w:rPr>
                      <w:color w:val="000000"/>
                      <w:sz w:val="20"/>
                      <w:szCs w:val="20"/>
                      <w:lang w:val="es-MX" w:eastAsia="es-MX"/>
                    </w:rPr>
                  </w:pPr>
                  <w:r>
                    <w:rPr>
                      <w:color w:val="000000"/>
                      <w:sz w:val="20"/>
                      <w:szCs w:val="20"/>
                      <w:lang w:val="es-MX" w:eastAsia="es-MX"/>
                    </w:rPr>
                    <w:t>$</w:t>
                  </w:r>
                  <w:r w:rsidR="0092277F">
                    <w:rPr>
                      <w:color w:val="000000"/>
                      <w:sz w:val="20"/>
                      <w:szCs w:val="20"/>
                      <w:lang w:val="es-MX" w:eastAsia="es-MX"/>
                    </w:rPr>
                    <w:t>320,926,692.79</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92277F">
                    <w:rPr>
                      <w:color w:val="000000"/>
                      <w:sz w:val="20"/>
                      <w:szCs w:val="20"/>
                      <w:lang w:val="es-MX" w:eastAsia="es-MX"/>
                    </w:rPr>
                    <w:t>210,285,597.74</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que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Chichimecas ”Guamares”</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Tlapalnochtitla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92277F">
        <w:rPr>
          <w:rFonts w:ascii="Arial" w:hAnsi="Arial" w:cs="Arial"/>
          <w:sz w:val="18"/>
          <w:szCs w:val="18"/>
        </w:rPr>
        <w:t>Diciembre</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7F4C7C">
        <w:rPr>
          <w:rFonts w:ascii="Arial" w:hAnsi="Arial" w:cs="Arial"/>
          <w:sz w:val="18"/>
          <w:szCs w:val="18"/>
        </w:rPr>
        <w:t>Diciembre</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7F4C7C">
        <w:rPr>
          <w:rFonts w:ascii="Arial" w:hAnsi="Arial" w:cs="Arial"/>
          <w:sz w:val="18"/>
          <w:szCs w:val="18"/>
        </w:rPr>
        <w:t>09.57</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92277F">
        <w:rPr>
          <w:rFonts w:ascii="Arial" w:hAnsi="Arial" w:cs="Arial"/>
          <w:sz w:val="18"/>
          <w:szCs w:val="18"/>
        </w:rPr>
        <w:t>Diciembre</w:t>
      </w:r>
      <w:r w:rsidR="002429D3">
        <w:rPr>
          <w:rFonts w:ascii="Arial" w:hAnsi="Arial" w:cs="Arial"/>
          <w:sz w:val="18"/>
          <w:szCs w:val="18"/>
        </w:rPr>
        <w:t xml:space="preserve"> 2020</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EA" w:rsidRDefault="005637EA" w:rsidP="00573FE7">
      <w:r>
        <w:separator/>
      </w:r>
    </w:p>
  </w:endnote>
  <w:endnote w:type="continuationSeparator" w:id="0">
    <w:p w:rsidR="005637EA" w:rsidRDefault="005637EA"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8D0609">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8D0609">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EA" w:rsidRDefault="005637EA" w:rsidP="00573FE7">
      <w:r>
        <w:separator/>
      </w:r>
    </w:p>
  </w:footnote>
  <w:footnote w:type="continuationSeparator" w:id="0">
    <w:p w:rsidR="005637EA" w:rsidRDefault="005637EA"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0F35F0"/>
    <w:rsid w:val="001008F9"/>
    <w:rsid w:val="001075BF"/>
    <w:rsid w:val="00116B37"/>
    <w:rsid w:val="0012099B"/>
    <w:rsid w:val="00123AFE"/>
    <w:rsid w:val="001272C9"/>
    <w:rsid w:val="0013212E"/>
    <w:rsid w:val="001373F4"/>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994"/>
    <w:rsid w:val="001D15B8"/>
    <w:rsid w:val="001E37EC"/>
    <w:rsid w:val="001E4358"/>
    <w:rsid w:val="001F0792"/>
    <w:rsid w:val="001F0A79"/>
    <w:rsid w:val="001F1EDF"/>
    <w:rsid w:val="002042C4"/>
    <w:rsid w:val="002065BD"/>
    <w:rsid w:val="00210884"/>
    <w:rsid w:val="00210C8F"/>
    <w:rsid w:val="00231B0D"/>
    <w:rsid w:val="00232142"/>
    <w:rsid w:val="002429D3"/>
    <w:rsid w:val="0024322D"/>
    <w:rsid w:val="002469C2"/>
    <w:rsid w:val="002516B8"/>
    <w:rsid w:val="00255D8B"/>
    <w:rsid w:val="00261222"/>
    <w:rsid w:val="00267DBC"/>
    <w:rsid w:val="00274275"/>
    <w:rsid w:val="0027707A"/>
    <w:rsid w:val="0028449F"/>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80E87"/>
    <w:rsid w:val="00381B9B"/>
    <w:rsid w:val="00392A15"/>
    <w:rsid w:val="003959C7"/>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249B"/>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E4D5B"/>
    <w:rsid w:val="005F26A5"/>
    <w:rsid w:val="005F47EE"/>
    <w:rsid w:val="005F4BB6"/>
    <w:rsid w:val="00605263"/>
    <w:rsid w:val="00607A6B"/>
    <w:rsid w:val="00607D99"/>
    <w:rsid w:val="006136EF"/>
    <w:rsid w:val="00617549"/>
    <w:rsid w:val="00622D8D"/>
    <w:rsid w:val="00642357"/>
    <w:rsid w:val="00656F07"/>
    <w:rsid w:val="00664C18"/>
    <w:rsid w:val="00665D7D"/>
    <w:rsid w:val="00671232"/>
    <w:rsid w:val="00677974"/>
    <w:rsid w:val="00690A30"/>
    <w:rsid w:val="00694F05"/>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60E9"/>
    <w:rsid w:val="007565EB"/>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7ACE"/>
    <w:rsid w:val="008C1A35"/>
    <w:rsid w:val="008D0609"/>
    <w:rsid w:val="008E4F5F"/>
    <w:rsid w:val="008F6A05"/>
    <w:rsid w:val="008F72FB"/>
    <w:rsid w:val="009033EC"/>
    <w:rsid w:val="00904396"/>
    <w:rsid w:val="00906F43"/>
    <w:rsid w:val="00910689"/>
    <w:rsid w:val="00914A0E"/>
    <w:rsid w:val="0092277F"/>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A1D"/>
    <w:rsid w:val="00A71CEA"/>
    <w:rsid w:val="00A843B9"/>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57178"/>
    <w:rsid w:val="00C6009D"/>
    <w:rsid w:val="00C63425"/>
    <w:rsid w:val="00C92939"/>
    <w:rsid w:val="00C93077"/>
    <w:rsid w:val="00C96432"/>
    <w:rsid w:val="00C97BF5"/>
    <w:rsid w:val="00CB42C0"/>
    <w:rsid w:val="00CC1964"/>
    <w:rsid w:val="00CF7F18"/>
    <w:rsid w:val="00D02BE2"/>
    <w:rsid w:val="00D12903"/>
    <w:rsid w:val="00D170B3"/>
    <w:rsid w:val="00D307C0"/>
    <w:rsid w:val="00D517B3"/>
    <w:rsid w:val="00D55799"/>
    <w:rsid w:val="00D657EA"/>
    <w:rsid w:val="00D73451"/>
    <w:rsid w:val="00D82BF6"/>
    <w:rsid w:val="00D91D64"/>
    <w:rsid w:val="00D96F89"/>
    <w:rsid w:val="00DA19B4"/>
    <w:rsid w:val="00DB06F0"/>
    <w:rsid w:val="00DB2A04"/>
    <w:rsid w:val="00DB59EC"/>
    <w:rsid w:val="00DB6FE3"/>
    <w:rsid w:val="00DC18A2"/>
    <w:rsid w:val="00DC7A26"/>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266A"/>
    <w:rsid w:val="00EB470E"/>
    <w:rsid w:val="00EC05AF"/>
    <w:rsid w:val="00EC64DD"/>
    <w:rsid w:val="00EC7932"/>
    <w:rsid w:val="00ED7235"/>
    <w:rsid w:val="00EF556B"/>
    <w:rsid w:val="00F04165"/>
    <w:rsid w:val="00F12634"/>
    <w:rsid w:val="00F1313C"/>
    <w:rsid w:val="00F16AA0"/>
    <w:rsid w:val="00F23ED4"/>
    <w:rsid w:val="00F256EB"/>
    <w:rsid w:val="00F27EDD"/>
    <w:rsid w:val="00F42B6C"/>
    <w:rsid w:val="00F43F5C"/>
    <w:rsid w:val="00F47FDF"/>
    <w:rsid w:val="00F51395"/>
    <w:rsid w:val="00F71AE6"/>
    <w:rsid w:val="00F73F61"/>
    <w:rsid w:val="00F749F0"/>
    <w:rsid w:val="00F7738A"/>
    <w:rsid w:val="00F77F0E"/>
    <w:rsid w:val="00F83920"/>
    <w:rsid w:val="00F84D34"/>
    <w:rsid w:val="00FA76F8"/>
    <w:rsid w:val="00FA7A1C"/>
    <w:rsid w:val="00FB765F"/>
    <w:rsid w:val="00FB7F57"/>
    <w:rsid w:val="00FC2FD1"/>
    <w:rsid w:val="00FD10B3"/>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33DB-07AC-4C61-BE5E-54FBA054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111</cp:revision>
  <cp:lastPrinted>2020-11-24T18:22:00Z</cp:lastPrinted>
  <dcterms:created xsi:type="dcterms:W3CDTF">2016-01-25T18:46:00Z</dcterms:created>
  <dcterms:modified xsi:type="dcterms:W3CDTF">2021-02-22T19:52:00Z</dcterms:modified>
</cp:coreProperties>
</file>